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CD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eastAsia="方正小标宋简体"/>
          <w:snapToGrid w:val="0"/>
          <w:spacing w:val="-6"/>
          <w:kern w:val="0"/>
          <w:sz w:val="44"/>
          <w:szCs w:val="44"/>
        </w:rPr>
      </w:pPr>
    </w:p>
    <w:p w14:paraId="1704C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spacing w:val="-6"/>
          <w:kern w:val="0"/>
          <w:sz w:val="44"/>
          <w:szCs w:val="44"/>
        </w:rPr>
        <w:t>长沙市望城区</w:t>
      </w:r>
      <w:r>
        <w:rPr>
          <w:rFonts w:hint="eastAsia" w:ascii="方正小标宋简体" w:eastAsia="方正小标宋简体"/>
          <w:snapToGrid w:val="0"/>
          <w:spacing w:val="-6"/>
          <w:kern w:val="0"/>
          <w:sz w:val="44"/>
          <w:szCs w:val="44"/>
          <w:lang w:eastAsia="zh-CN"/>
        </w:rPr>
        <w:t>重点建设项目事务中心</w:t>
      </w:r>
    </w:p>
    <w:p w14:paraId="664A3894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leftChars="0" w:right="0" w:firstLine="0" w:firstLineChars="0"/>
        <w:jc w:val="center"/>
        <w:rPr>
          <w:rFonts w:hint="eastAsia" w:ascii="方正小标宋简体" w:eastAsia="方正小标宋简体" w:hAnsiTheme="minorHAnsi" w:cstheme="minorBidi"/>
          <w:b w:val="0"/>
          <w:bCs w:val="0"/>
          <w:snapToGrid w:val="0"/>
          <w:spacing w:val="-6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eastAsia="方正小标宋简体" w:hAnsiTheme="minorHAnsi" w:cstheme="minorBidi"/>
          <w:b w:val="0"/>
          <w:bCs w:val="0"/>
          <w:snapToGrid w:val="0"/>
          <w:spacing w:val="-6"/>
          <w:kern w:val="0"/>
          <w:sz w:val="44"/>
          <w:szCs w:val="44"/>
          <w:lang w:val="en-US" w:eastAsia="zh-CN" w:bidi="ar-SA"/>
        </w:rPr>
        <w:t>2025年工作总结及2026年工作计划</w:t>
      </w:r>
      <w:bookmarkStart w:id="0" w:name="_GoBack"/>
      <w:bookmarkEnd w:id="0"/>
    </w:p>
    <w:p w14:paraId="759EE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0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</w:p>
    <w:p w14:paraId="39758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/>
        <w:jc w:val="center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202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</w:p>
    <w:p w14:paraId="2790D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</w:rPr>
      </w:pPr>
    </w:p>
    <w:p w14:paraId="7C5F6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今年以来，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区重建中心深入贯彻落实党的二十大及历次全会精神，聚焦实现“三高四新”美好蓝图，坚定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“一二三六”发展思路，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锚定高质量发展目标，全体干部职工凝心聚力、攻坚克难，各项工作取得显著成效，核心指标超额完成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，具体情况如下：</w:t>
      </w:r>
    </w:p>
    <w:p w14:paraId="1C335994"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一、工作完成情况</w:t>
      </w:r>
    </w:p>
    <w:p w14:paraId="329F5F6F"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60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（一）聚焦主责主业，精筑城市标杆，赋能发展新格局</w:t>
      </w:r>
    </w:p>
    <w:p w14:paraId="380F6BD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Calibri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auto"/>
          <w:kern w:val="0"/>
          <w:sz w:val="32"/>
          <w:szCs w:val="32"/>
          <w:highlight w:val="none"/>
          <w:lang w:val="en-US" w:eastAsia="zh-CN" w:bidi="ar-SA"/>
        </w:rPr>
        <w:t>项目建设成效显著</w:t>
      </w:r>
      <w:r>
        <w:rPr>
          <w:rFonts w:hint="eastAsia" w:ascii="仿宋_GB2312" w:hAnsi="Calibri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，民生答卷写满获得感。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全年统筹铺排项目53个（续建2个、新建19个、预备32个），我们迎难而上，推动1</w:t>
      </w:r>
      <w:r>
        <w:rPr>
          <w:rFonts w:hint="eastAsia" w:ascii="仿宋_GB2312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个项目圆满竣工、投入使用。靖港中学、望城一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中教师周转房、师大附中星城实验学校教研综合楼等一批重点民生工程如期建成、惠及师生；区综治中心、禁毒教育基地等社会治理项目稳步推进，平安根基更加牢固。面对硬仗，我们主动担当，全力攻坚威戴线迁改、地铁4号线北延配套管网等关键工程，为区域发展提供了坚实支撑。</w:t>
      </w:r>
    </w:p>
    <w:p w14:paraId="4EF3431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left="0" w:leftChars="0" w:firstLine="643" w:firstLineChars="200"/>
        <w:jc w:val="both"/>
        <w:textAlignment w:val="auto"/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2.固投任务提前完成，核心指标超额达成。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坚决执行决策部署，锚定年度目标。预计全年完成固定资产投资5.4亿元，超额完成年度计划13%，有力支撑区域经济社会发展。</w:t>
      </w:r>
    </w:p>
    <w:p w14:paraId="3962411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left="0" w:leftChars="0" w:firstLine="643" w:firstLineChars="200"/>
        <w:jc w:val="both"/>
        <w:textAlignment w:val="auto"/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3.工程品质广受认可，创优夺奖成果丰硕。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望城职中体艺馆荣获省级“芙蓉优质奖”；师大附中星城实验中学教研综合楼获评市级“结构优良奖”和“绿色示范工地”；靖港中学项目荣获市级“结构优良奖”。</w:t>
      </w:r>
    </w:p>
    <w:p w14:paraId="646A6A1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left="0" w:leftChars="0" w:firstLine="643" w:firstLineChars="200"/>
        <w:jc w:val="both"/>
        <w:textAlignment w:val="auto"/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4.担当善为建设成效卓著，师生幸福感成色更足。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师大附中星城实验中学教研综合楼扩建项目自2024年9月启动以来，</w:t>
      </w:r>
      <w:r>
        <w:rPr>
          <w:rFonts w:hint="eastAsia" w:ascii="仿宋_GB2312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中心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精准研判、积极作为，创新实施审批与审查并行工作模式，仅用80天完成招标，推动前期工作效率提升50%。面对施工场地受限、周边环境敏感、工期高度紧张等多重挑战，项目自2025年2月全面开工后，通过倒排工期、挂图作战，仅用4个半月完成主体结构及内部装修并顺利移交学校，整体建设周期压缩近40%，确保在秋季开学前高标准投入使用，以实实在在的建设成效回应了师生期盼、厚植了民生福祉。</w:t>
      </w:r>
    </w:p>
    <w:p w14:paraId="2CD16FB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3" w:firstLineChars="200"/>
        <w:jc w:val="both"/>
        <w:textAlignment w:val="auto"/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5.资金保障坚强有力，持续发展后劲夯实。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积极研究政策、主动向上对接谋划，成功申报资金4.704亿元（含特别国债1.28亿元），本年度已下达2518万元。同时着眼长远，提前布局2026年争资项目5.6亿元，为重点项目接续推进筑牢坚实保障，为未来项目建设备足了“粮草”，确保了发展后劲。</w:t>
      </w:r>
    </w:p>
    <w:p w14:paraId="07335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（二）聚力改革创新，优化管理体系，激发内生新动能</w:t>
      </w:r>
    </w:p>
    <w:p w14:paraId="7C69DB6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3" w:firstLineChars="200"/>
        <w:jc w:val="both"/>
        <w:textAlignment w:val="auto"/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1.</w:t>
      </w:r>
      <w:r>
        <w:rPr>
          <w:rFonts w:hint="eastAsia" w:ascii="仿宋_GB2312" w:hAnsi="Calibri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创新运用“四图”工作法，下好项目调度“精准棋”。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 创新推出“前期、建设、结算、拨付”四张图工作法，以图表清单倒排工期、挂图作战。建立半月调度机制，动态跟踪、精准研判、强化协同，实现了项目从启动到交付的全周期精准管控和闭环落实。</w:t>
      </w:r>
    </w:p>
    <w:p w14:paraId="328B00D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3" w:firstLineChars="200"/>
        <w:jc w:val="both"/>
        <w:textAlignment w:val="auto"/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2.</w:t>
      </w:r>
      <w:r>
        <w:rPr>
          <w:rFonts w:hint="eastAsia" w:ascii="仿宋_GB2312" w:hAnsi="Calibri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深化专班攻坚机制，啃下项目建设“硬骨头”。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 面对重点难点项目，我们坚持“兵团作战”，由班子成员牵头成立专项攻坚专班。通过集中</w:t>
      </w:r>
      <w:r>
        <w:rPr>
          <w:rFonts w:hint="eastAsia" w:ascii="仿宋_GB2312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骨干力量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、高频次协调，成功破解了靖港中学、望城一中改造等一系列民生项目中的制约难题，有力保障了项目按期建成投用。</w:t>
      </w:r>
    </w:p>
    <w:p w14:paraId="59035681"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3.</w:t>
      </w:r>
      <w:r>
        <w:rPr>
          <w:rFonts w:hint="eastAsia" w:ascii="仿宋_GB2312" w:hAnsi="Calibri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构建标准化设计体系，点燃管理升级“新引擎”。</w:t>
      </w:r>
      <w:r>
        <w:rPr>
          <w:rFonts w:hint="eastAsia" w:ascii="仿宋_GB2312" w:hAnsi="仿宋_GB2312" w:eastAsia="仿宋_GB2312" w:cs="仿宋_GB2312"/>
          <w:b w:val="0"/>
          <w:bCs/>
          <w:i w:val="0"/>
          <w:strike w:val="0"/>
          <w:color w:val="auto"/>
          <w:kern w:val="2"/>
          <w:sz w:val="32"/>
          <w:szCs w:val="32"/>
          <w:highlight w:val="none"/>
          <w:u w:val="none" w:color="auto"/>
          <w:shd w:val="clear" w:color="auto" w:fill="auto"/>
          <w:lang w:val="en-US" w:eastAsia="zh-CN" w:bidi="ar-SA"/>
        </w:rPr>
        <w:t>在完成《建筑工程内部设计导则（学校篇）》修订工作的基础上，结合本区域实际情况，联合专业设计单位及咨询机构，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研究编制并出台《建设工程内部设计导则（卫生院篇）》，统一内部技术规程，推动设计工作从“经验化”向“标准化、规范化”转型。</w:t>
      </w:r>
    </w:p>
    <w:p w14:paraId="56559B0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3" w:firstLineChars="200"/>
        <w:jc w:val="both"/>
        <w:textAlignment w:val="auto"/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4.</w:t>
      </w:r>
      <w:r>
        <w:rPr>
          <w:rFonts w:hint="eastAsia" w:ascii="仿宋_GB2312" w:hAnsi="Calibri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系统抓实项目前期，筑牢高效落地“基础桩”。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 坚持前期先行，全年高效完成1</w:t>
      </w:r>
      <w:r>
        <w:rPr>
          <w:rFonts w:hint="eastAsia" w:ascii="仿宋_GB2312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4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个项目前期工作，高效组织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施工、监理、设备采购等公开招标事项27次，取得前期各项批复及许可118个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，推动2个项目由预备转入实施。针对用地、产权等关键卡点，全力攻坚突破，完成3个项目（总计3.04万平方米）的用地报批，办理了3个项目的国有建设用地划拨及用地规划许可证，并顺利取得4个项目的不动产权证。同时，统筹推进4个项目的强弱电迁改工作，为项目依法合规、快速推进扫清了障碍，奠定了坚实基础。</w:t>
      </w:r>
    </w:p>
    <w:p w14:paraId="3352FF6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5.安全管控全面从严，筑牢闭环治理“安全链”。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始终坚持安全第一、预防为主，班子成员带队开展安全检查55次，全年召开4次党组会议和4次安全专题会议部署推进工作。创新实行施工、监理单位“红黑榜”管理制度，引入第三方专业机构开展常态化安全巡查，源头排查防控风险隐患，全年共发现并整改安全隐患654处，形成自查、抽查、交办、落实、反馈的闭环管理机制，有力确保了在建项目施工安全、形势稳定、整体可控。</w:t>
      </w:r>
    </w:p>
    <w:p w14:paraId="4D057CF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firstLine="647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Style w:val="17"/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聚焦铸魂强基，从严管党治党，凝聚奋斗新合力</w:t>
      </w:r>
    </w:p>
    <w:p w14:paraId="26FC108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firstLine="647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24"/>
          <w:highlight w:val="none"/>
          <w:lang w:val="en-US" w:eastAsia="zh-CN" w:bidi="ar-SA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1.旗帜鲜明讲政治，把准前进方向。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24"/>
          <w:highlight w:val="none"/>
          <w:lang w:val="en-US" w:eastAsia="zh-CN" w:bidi="ar-SA"/>
        </w:rPr>
        <w:t>坚持将政治建设摆在首位，</w:t>
      </w:r>
      <w:r>
        <w:rPr>
          <w:rStyle w:val="1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始终把党的领导贯穿工作各方面全过程，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24"/>
          <w:highlight w:val="none"/>
          <w:lang w:val="en-US" w:eastAsia="zh-CN" w:bidi="ar-SA"/>
        </w:rPr>
        <w:t>严格执行“第一议题”制度，全年开展理论学习中心组学习研讨12次，党组会议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学习党纪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法规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24"/>
          <w:highlight w:val="none"/>
          <w:lang w:val="en-US" w:eastAsia="zh-CN" w:bidi="ar-SA"/>
        </w:rPr>
        <w:t>20余次，有效</w:t>
      </w:r>
      <w:r>
        <w:rPr>
          <w:rStyle w:val="1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确保了各项工作始终沿着正确方向稳步前行。</w:t>
      </w:r>
    </w:p>
    <w:p w14:paraId="3370AE0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 w:rightChars="0" w:firstLine="647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2.党建引领赋能，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1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做实“三大工程”。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24"/>
          <w:highlight w:val="none"/>
          <w:lang w:val="en-US" w:eastAsia="zh-CN" w:bidi="ar-SA"/>
        </w:rPr>
        <w:t>抓实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highlight w:val="none"/>
          <w:lang w:eastAsia="zh-CN"/>
        </w:rPr>
        <w:t>基层党建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24"/>
          <w:highlight w:val="none"/>
          <w:lang w:val="en-US" w:eastAsia="zh-CN" w:bidi="ar-SA"/>
        </w:rPr>
        <w:t>“书记工程”，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24"/>
          <w:highlight w:val="none"/>
          <w:lang w:val="en-US" w:eastAsia="zh-CN" w:bidi="ar-SA"/>
        </w:rPr>
        <w:t>紧扣“党建强堡垒，匠心筑工程”主题，推动党组织向项目一线延伸，以组织优势凝聚攻坚合力，助力项目高效推进。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24"/>
          <w:highlight w:val="none"/>
          <w:lang w:val="en-US" w:eastAsia="zh-CN" w:bidi="ar-SA"/>
        </w:rPr>
        <w:t>筑牢支部“堡垒工程”，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24"/>
          <w:highlight w:val="none"/>
          <w:lang w:val="en-US" w:eastAsia="zh-CN" w:bidi="ar-SA"/>
        </w:rPr>
        <w:t>按期完成机关支部换届，选优配强支部班子，完善党建阵地，营造严肃活泼、务实奋进的良好氛围，机关支部获评2025年度“基层示范党组织”。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24"/>
          <w:highlight w:val="none"/>
          <w:lang w:val="en-US" w:eastAsia="zh-CN" w:bidi="ar-SA"/>
        </w:rPr>
        <w:t>推进党员“闪亮工程”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24"/>
          <w:highlight w:val="none"/>
          <w:lang w:val="en-US" w:eastAsia="zh-CN" w:bidi="ar-SA"/>
        </w:rPr>
        <w:t>，党员干部参与社区治理、走访慰问、“微心愿”认领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200余人次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24"/>
          <w:highlight w:val="none"/>
          <w:lang w:val="en-US" w:eastAsia="zh-CN" w:bidi="ar-SA"/>
        </w:rPr>
        <w:t>，生动践行“我为群众办实事”，持续彰显党员先锋形象。</w:t>
      </w:r>
    </w:p>
    <w:p w14:paraId="667F6E7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firstLine="647" w:firstLineChars="200"/>
        <w:jc w:val="both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3.全面从严治党，严守纪律规矩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1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。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系统开展深入贯彻中央八项规定精神学习教育，坚持学查改一体推进。组织专题学习17场、研讨5次，开展读书班、警示教育大会，邀请专家授课3次，观看警示教育片2部，参观廉政教育基地1次。班子成员带头讲廉政党课3场，党员讲授“微党课”20余人次。同时抓牢日常作风建设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严格落实“三重一大”决策机制，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执行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党风廉政月报告、考勤管理等制度，开展“510”廉洁主题活动，扎实推进“两带头五整治”专项行动和领导干部亲属经商办企业专项整治，紧扣重要节点开展廉政谈话提醒，持续涵养风清气正、务实担当的良好政治生态。</w:t>
      </w:r>
    </w:p>
    <w:p w14:paraId="7D88CCC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firstLine="647" w:firstLineChars="200"/>
        <w:jc w:val="both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4.压实意识形态责任，把稳思想之舵。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坚持将意识形态工作纳入年度重点，同步谋划、一体推进。</w:t>
      </w:r>
      <w:r>
        <w:rPr>
          <w:rFonts w:hint="eastAsia" w:ascii="仿宋_GB2312" w:hAnsi="仿宋_GB2312" w:eastAsia="仿宋_GB2312"/>
          <w:color w:val="auto"/>
          <w:sz w:val="32"/>
          <w:szCs w:val="32"/>
          <w:highlight w:val="none"/>
        </w:rPr>
        <w:t>党组织书记亲自抓、带头管</w:t>
      </w:r>
      <w:r>
        <w:rPr>
          <w:rFonts w:hint="eastAsia" w:ascii="仿宋_GB2312" w:hAns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 w:cs="Times New Roman"/>
          <w:color w:val="auto"/>
          <w:sz w:val="32"/>
          <w:szCs w:val="32"/>
          <w:highlight w:val="none"/>
          <w:lang w:val="en-US" w:eastAsia="zh-CN"/>
        </w:rPr>
        <w:t>全年专题研究2次，组织专题学习3次，分管领导按季度开展领域风险研判，累计摸排报送项目建设、安全生产、噪声治理、农民工工资等各类舆情隐患9条。积极把握宣传主动权，在主流媒体及政府门户网站发布正面宣传信息38条，转载权威报道300余篇。及时回应社会关切，高效办理“区长信箱”、网络问政及12345热线等群众留言240余条，全年意识形态领域保持平稳向上、可控可导的良好态势。</w:t>
      </w:r>
    </w:p>
    <w:p w14:paraId="6503883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firstLine="647" w:firstLineChars="200"/>
        <w:jc w:val="both"/>
        <w:textAlignment w:val="auto"/>
        <w:rPr>
          <w:rStyle w:val="1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5.激励担当善为，带活干事氛围。</w:t>
      </w:r>
      <w:r>
        <w:rPr>
          <w:rStyle w:val="1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聚焦对外联动拓维，积极融入区域工作体系，线上线下参与省市“机器管招投标”、新计价标准等关键培训；主动参加区级财评、EPC等项目专题研讨，精准对接行业经验，为复杂问题解决汇聚多元思路。聚焦对内强基固本，以实战为导向，组织业务骨干赴行业龙头企业学习新型管材技术，赴省物化所座谈交流，掌握行业前沿经验；依托“工地学堂”深化实战培训，年内助力2名干部获评高级工程师；创新开展“健康体重·活力机关”等特色活动，有效激发团队内生动力与凝聚力。</w:t>
      </w:r>
    </w:p>
    <w:p w14:paraId="5E3D9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firstLine="647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1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6.</w:t>
      </w:r>
      <w:r>
        <w:rPr>
          <w:rStyle w:val="17"/>
          <w:rFonts w:hint="eastAsia" w:ascii="仿宋_GB2312" w:hAnsi="仿宋_GB2312" w:eastAsia="仿宋_GB2312" w:cs="仿宋_GB2312"/>
          <w:bCs/>
          <w:i w:val="0"/>
          <w:iCs w:val="0"/>
          <w:caps w:val="0"/>
          <w:color w:val="auto"/>
          <w:spacing w:val="1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聚焦短板弱项，抓准整改靶心。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持续做好巡察整改的“后半篇文章”，</w:t>
      </w:r>
      <w:r>
        <w:rPr>
          <w:rFonts w:hint="eastAsia" w:ascii="仿宋_GB2312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年度完成6个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项目的结算遗留问题处理</w:t>
      </w:r>
      <w:r>
        <w:rPr>
          <w:rFonts w:hint="eastAsia" w:ascii="仿宋_GB2312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，5个项目档案资料移交，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华润燃气公司已竣工的14个项目结算审核，</w:t>
      </w:r>
      <w:r>
        <w:rPr>
          <w:rFonts w:hint="eastAsia" w:ascii="仿宋_GB2312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实现全部清零。通过系统整改、标本兼治，切实将巡察成果转化为改进作风、提升效能、推动发展的扎实成效。</w:t>
      </w:r>
    </w:p>
    <w:p w14:paraId="746DC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二、问题和不足</w:t>
      </w:r>
    </w:p>
    <w:p w14:paraId="38545A3C"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部分项目前期工作深度不足。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项目谋划阶段的前瞻性研究和可行性论证不够充分，与使用单位、主管部门对接中，对建设内容与核心需求的界定有时存在模糊，导致方案在审批和实施阶段反复调整，影响了前期效率。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如威戴线迁改项目，从按临时迁改2基塔基方案，到迁改银星路-普瑞大道18基方案，再调整为迁改银星路-永通大道20基方案，反复研究，影响项目建设推进。</w:t>
      </w:r>
    </w:p>
    <w:p w14:paraId="00AA4113"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2.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1"/>
          <w:sz w:val="32"/>
          <w:szCs w:val="32"/>
          <w:highlight w:val="none"/>
          <w:shd w:val="clear" w:color="auto" w:fill="FFFFFF"/>
          <w:lang w:val="en-US" w:eastAsia="zh-CN"/>
        </w:rPr>
        <w:t>部分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项目结算办理效率有待提升。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项目竣工后，因施工单位结算资料编制报送进度不均、质量不一，导致资料提交周期拉长。加之同期送审项目集中、审查资源有限，未能完全实现“限时办结”，造成部分结算积压，整体推进效率受到制约。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如艺术路（高裕北路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-连港路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）等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 xml:space="preserve">历史遗留项目至今未完成结算办理。 </w:t>
      </w:r>
    </w:p>
    <w:p w14:paraId="515932D4"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600" w:lineRule="exact"/>
        <w:ind w:left="0" w:leftChars="0"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三、2026年工作计划</w:t>
      </w:r>
    </w:p>
    <w:p w14:paraId="0A72E005"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1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2026年是“十五五”规划开局之年。中心将坚持稳中求进、以进促稳的总基调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  <w:t>，</w:t>
      </w:r>
      <w:r>
        <w:rPr>
          <w:rStyle w:val="17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持续强化党建引领，把廉政建设融入项目建设全过程，持续深化“制度管人、流程管事”的管理机制，着力提升项目管理的规范化、精细化水平，切实推动政府投资建设项目提质增效、行稳致远。</w:t>
      </w:r>
    </w:p>
    <w:p w14:paraId="380B7393"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筑牢政治根基，护航行稳致远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始终坚持把政治建设摆在首位，持续深化党的创新理论武装。推动党建工作与中心业务深度融合，依托项目党建品牌强化靶向引领，系统提升技术规范、管理效能和监督水平，全面加强进度推进、质量管控和内控管理能力，实现项目建设全周期管理提质增效，以高质量党建保障高质量发展。</w:t>
      </w:r>
    </w:p>
    <w:p w14:paraId="484827C2"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  <w:lang w:val="en-US" w:eastAsia="zh-CN"/>
        </w:rPr>
        <w:t>2.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  <w:t>聚力前期攻坚与流程优化，畅通项目“生命线”。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  <w:t>系统攻坚用地报批、产权办理、规划许可等关键节点。主动加强与财政、发改、审批等部门的协同，针对审批、结算等共性问题，探索建立弹性调度、集中会审等联动机制，合力提效。积极研究争资政策，建言优化前期经费保障与责任机制。</w:t>
      </w:r>
    </w:p>
    <w:p w14:paraId="164F2D09"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  <w:lang w:val="en-US" w:eastAsia="zh-CN"/>
        </w:rPr>
        <w:t>3.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  <w:t>精准调度民生与重大项目，确保节点目标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扎实推进在建项目管理，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  <w:t>围绕“保民生、保开学”，对师大附中星城实验第二小学扩建、青石学校初中部（一期）、乌山街道第二社区卫生服务中心、同福消防站等项目实行“挂图作战、节点清零”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确保各项目标任务按时高质量完成；全力攻坚重大项目难点，重点突破威戴线迁改、地铁4号线北延配套管网等关键环节；优先保障民生项目建设，加速推进大方沟片区管网治理等民生工程落地见效；系统化解历史遗留问题，通过统筹协调、分类施策，有序完成项目结算等工作，为后续发展扫清障碍、积蓄动能。</w:t>
      </w:r>
    </w:p>
    <w:p w14:paraId="0BF61F88"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  <w:lang w:val="en-US" w:eastAsia="zh-CN"/>
        </w:rPr>
        <w:t>4.</w:t>
      </w: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  <w:t>对标精品与卓越管理，引领全面品质升级。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  <w:t>将“精益建造、绿色建造、智慧建造”理念贯穿项目全生命周期。全力支持望城消防救援站改建、区职业中专体艺馆等项目创优争奖。严控质量安全，推广现有《内部设计导则》，并探索编制更多专业篇目。</w:t>
      </w:r>
    </w:p>
    <w:p w14:paraId="634B8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Style w:val="1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5.坚持底线思维，维护稳定发展环境。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从严抓实安全生产责任，全面加强隐患排查整治与信访维稳工作；持续深化作风纪律建设，将党风廉政建设要求全面嵌入项目立项、招标、变更、支付等关键环节，常态化开展“廉洁走访”和警示教育，营造风清气正、干事创业的良好政治生态，以严的基调保障事业发展行稳致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 w14:paraId="5001D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9E82731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531" w:bottom="1984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E2511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-387350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FE64A0"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0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BsD+D1AAAAAgBAAAPAAAAAAAAAAEAIAAAACIAAABkcnMvZG93bnJldi54bWxQSwEC&#10;FAAUAAAACACHTuJAa4X5+z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FE64A0"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6E72D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MDNhOWZkZjcwMTA2ZTJhNTIzYzczNTc2MzAwZTMifQ=="/>
    <w:docVar w:name="KSO_WPS_MARK_KEY" w:val="f6ba29d9-48c7-4dde-bed2-9f17a8387178"/>
  </w:docVars>
  <w:rsids>
    <w:rsidRoot w:val="18892618"/>
    <w:rsid w:val="001F6371"/>
    <w:rsid w:val="00514929"/>
    <w:rsid w:val="02107DF4"/>
    <w:rsid w:val="022E3928"/>
    <w:rsid w:val="04846D6B"/>
    <w:rsid w:val="04EA7B3D"/>
    <w:rsid w:val="056C29FE"/>
    <w:rsid w:val="07AA637F"/>
    <w:rsid w:val="08875D14"/>
    <w:rsid w:val="08F95144"/>
    <w:rsid w:val="09063AC4"/>
    <w:rsid w:val="092D5133"/>
    <w:rsid w:val="09900F51"/>
    <w:rsid w:val="09DF6746"/>
    <w:rsid w:val="0B101CAF"/>
    <w:rsid w:val="0B3338CF"/>
    <w:rsid w:val="0BE219FF"/>
    <w:rsid w:val="0BF81036"/>
    <w:rsid w:val="0D8439D4"/>
    <w:rsid w:val="105226FA"/>
    <w:rsid w:val="15675415"/>
    <w:rsid w:val="167E3063"/>
    <w:rsid w:val="17200919"/>
    <w:rsid w:val="17CC1D97"/>
    <w:rsid w:val="18892618"/>
    <w:rsid w:val="1D6965BB"/>
    <w:rsid w:val="1D7D2D9A"/>
    <w:rsid w:val="1DCF6C65"/>
    <w:rsid w:val="1FF64956"/>
    <w:rsid w:val="22F90988"/>
    <w:rsid w:val="233900C9"/>
    <w:rsid w:val="23C33E96"/>
    <w:rsid w:val="23E5663B"/>
    <w:rsid w:val="25233A8B"/>
    <w:rsid w:val="25AC05CF"/>
    <w:rsid w:val="27323198"/>
    <w:rsid w:val="2AED0E50"/>
    <w:rsid w:val="2BD13C4E"/>
    <w:rsid w:val="2FB25488"/>
    <w:rsid w:val="2FE4104A"/>
    <w:rsid w:val="331639D6"/>
    <w:rsid w:val="33557081"/>
    <w:rsid w:val="35F7629A"/>
    <w:rsid w:val="37CD1B5C"/>
    <w:rsid w:val="38B60104"/>
    <w:rsid w:val="38D85EC0"/>
    <w:rsid w:val="399E0AC6"/>
    <w:rsid w:val="3ADC662D"/>
    <w:rsid w:val="3C5D2C40"/>
    <w:rsid w:val="403B7DD3"/>
    <w:rsid w:val="416C5BDF"/>
    <w:rsid w:val="419D532A"/>
    <w:rsid w:val="42680627"/>
    <w:rsid w:val="47E117B7"/>
    <w:rsid w:val="4E220A43"/>
    <w:rsid w:val="4F244609"/>
    <w:rsid w:val="5B4811B2"/>
    <w:rsid w:val="5B4B3B52"/>
    <w:rsid w:val="5C6D2AD2"/>
    <w:rsid w:val="5D8F4F70"/>
    <w:rsid w:val="5F0624D6"/>
    <w:rsid w:val="61AA3DE9"/>
    <w:rsid w:val="66B13C04"/>
    <w:rsid w:val="66CF2BD4"/>
    <w:rsid w:val="68D238BB"/>
    <w:rsid w:val="69AD33CC"/>
    <w:rsid w:val="6A563007"/>
    <w:rsid w:val="6BFD5F73"/>
    <w:rsid w:val="6C815B33"/>
    <w:rsid w:val="6E1A4785"/>
    <w:rsid w:val="6FBF7E2F"/>
    <w:rsid w:val="746E68ED"/>
    <w:rsid w:val="75DD32BF"/>
    <w:rsid w:val="771C5774"/>
    <w:rsid w:val="78801F34"/>
    <w:rsid w:val="78B373BA"/>
    <w:rsid w:val="7A987132"/>
    <w:rsid w:val="7B7959D2"/>
    <w:rsid w:val="7B8D2E4B"/>
    <w:rsid w:val="7C43545B"/>
    <w:rsid w:val="7C5E1A86"/>
    <w:rsid w:val="7E9F26E2"/>
    <w:rsid w:val="D74FEDD4"/>
    <w:rsid w:val="F7A73738"/>
    <w:rsid w:val="FBA78326"/>
    <w:rsid w:val="FDFB7AE7"/>
    <w:rsid w:val="FFEF9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600" w:lineRule="exact"/>
      <w:ind w:left="640" w:leftChars="200"/>
      <w:outlineLvl w:val="0"/>
    </w:pPr>
    <w:rPr>
      <w:rFonts w:ascii="Times New Roman" w:hAnsi="Times New Roman" w:eastAsia="黑体"/>
      <w:kern w:val="44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toa heading"/>
    <w:basedOn w:val="1"/>
    <w:next w:val="1"/>
    <w:qFormat/>
    <w:uiPriority w:val="0"/>
    <w:rPr>
      <w:rFonts w:ascii="Arial" w:hAnsi="Arial"/>
      <w:sz w:val="24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99"/>
    <w:pPr>
      <w:ind w:left="111"/>
    </w:pPr>
    <w:rPr>
      <w:sz w:val="36"/>
      <w:szCs w:val="36"/>
    </w:rPr>
  </w:style>
  <w:style w:type="paragraph" w:styleId="7">
    <w:name w:val="Body Text Indent"/>
    <w:basedOn w:val="1"/>
    <w:qFormat/>
    <w:uiPriority w:val="0"/>
    <w:pPr>
      <w:spacing w:after="120"/>
      <w:ind w:left="200" w:leftChars="200"/>
    </w:p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5"/>
    <w:next w:val="1"/>
    <w:qFormat/>
    <w:uiPriority w:val="0"/>
    <w:rPr>
      <w:b/>
      <w:bCs/>
    </w:rPr>
  </w:style>
  <w:style w:type="paragraph" w:styleId="12">
    <w:name w:val="Body Text First Indent"/>
    <w:basedOn w:val="1"/>
    <w:unhideWhenUsed/>
    <w:qFormat/>
    <w:uiPriority w:val="99"/>
    <w:pPr>
      <w:adjustRightInd w:val="0"/>
      <w:snapToGrid w:val="0"/>
      <w:ind w:firstLine="200" w:firstLineChars="200"/>
    </w:pPr>
    <w:rPr>
      <w:rFonts w:ascii="Times New Roman" w:hAnsi="Times New Roman"/>
      <w:color w:val="000000"/>
      <w:szCs w:val="24"/>
      <w:lang w:val="zh-CN"/>
    </w:rPr>
  </w:style>
  <w:style w:type="paragraph" w:styleId="13">
    <w:name w:val="Body Text First Indent 2"/>
    <w:basedOn w:val="7"/>
    <w:qFormat/>
    <w:uiPriority w:val="0"/>
    <w:pPr>
      <w:ind w:firstLine="200" w:firstLineChars="20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customStyle="1" w:styleId="18">
    <w:name w:val="con-all2"/>
    <w:basedOn w:val="16"/>
    <w:qFormat/>
    <w:uiPriority w:val="99"/>
    <w:rPr>
      <w:rFonts w:cs="Times New Roman"/>
    </w:rPr>
  </w:style>
  <w:style w:type="paragraph" w:customStyle="1" w:styleId="19">
    <w:name w:val="正文+缩进"/>
    <w:basedOn w:val="1"/>
    <w:qFormat/>
    <w:uiPriority w:val="0"/>
    <w:pPr>
      <w:ind w:firstLine="560" w:firstLineChars="200"/>
    </w:pPr>
    <w:rPr>
      <w:rFonts w:ascii="仿宋_GB2312" w:hAnsi="Calibri"/>
      <w:kern w:val="0"/>
      <w:szCs w:val="28"/>
    </w:rPr>
  </w:style>
  <w:style w:type="paragraph" w:customStyle="1" w:styleId="20">
    <w:name w:val="BodyText1I2"/>
    <w:basedOn w:val="21"/>
    <w:qFormat/>
    <w:uiPriority w:val="0"/>
    <w:pPr>
      <w:spacing w:after="120"/>
      <w:ind w:left="200" w:leftChars="200" w:firstLine="200" w:firstLineChars="200"/>
      <w:jc w:val="both"/>
      <w:textAlignment w:val="baseline"/>
    </w:pPr>
  </w:style>
  <w:style w:type="paragraph" w:customStyle="1" w:styleId="21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4204</Words>
  <Characters>4326</Characters>
  <Lines>0</Lines>
  <Paragraphs>0</Paragraphs>
  <TotalTime>1</TotalTime>
  <ScaleCrop>false</ScaleCrop>
  <LinksUpToDate>false</LinksUpToDate>
  <CharactersWithSpaces>4373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2020-02-20T05:28:00Z</dcterms:created>
  <dc:creator>ＨＨＨＨ燃烧的谜ＨＨＨＨ</dc:creator>
  <cp:lastModifiedBy>刘颖</cp:lastModifiedBy>
  <cp:lastPrinted>2026-01-12T22:55:00Z</cp:lastPrinted>
  <dcterms:modified xsi:type="dcterms:W3CDTF">2026-04-24T07:57:28Z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CE875DACAF0D40A9A2DC691706B2227C</vt:lpwstr>
  </property>
  <property fmtid="{D5CDD505-2E9C-101B-9397-08002B2CF9AE}" pid="4" name="KSOTemplateDocerSaveRecord">
    <vt:lpwstr>eyJoZGlkIjoiNWJkMTJkOGRhNDU4MTRmYmJlM2NiMDg1ZTMwYTY1ZjEiLCJ1c2VySWQiOiIxNDgwNjM0MTI4In0=</vt:lpwstr>
  </property>
</Properties>
</file>