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3EB85">
      <w:pPr>
        <w:spacing w:line="600" w:lineRule="exact"/>
        <w:jc w:val="center"/>
        <w:rPr>
          <w:rFonts w:ascii="宋体" w:hAnsi="宋体" w:eastAsia="宋体" w:cs="Times New Roman"/>
          <w:b/>
          <w:sz w:val="28"/>
          <w:szCs w:val="28"/>
        </w:rPr>
      </w:pPr>
      <w:r>
        <w:rPr>
          <w:rFonts w:hint="eastAsia" w:ascii="宋体" w:hAnsi="宋体" w:eastAsia="宋体" w:cs="Times New Roman"/>
          <w:b/>
          <w:sz w:val="28"/>
          <w:szCs w:val="28"/>
        </w:rPr>
        <w:t>长沙市生态环境局望城分局</w:t>
      </w:r>
    </w:p>
    <w:p w14:paraId="5EB636FC">
      <w:pPr>
        <w:spacing w:line="600" w:lineRule="exact"/>
        <w:jc w:val="center"/>
        <w:rPr>
          <w:rFonts w:ascii="宋体" w:hAnsi="宋体" w:eastAsia="宋体" w:cs="Times New Roman"/>
          <w:b/>
          <w:sz w:val="28"/>
          <w:szCs w:val="28"/>
        </w:rPr>
      </w:pPr>
      <w:r>
        <w:rPr>
          <w:rFonts w:hint="eastAsia" w:ascii="宋体" w:hAnsi="宋体" w:eastAsia="宋体" w:cs="Times New Roman"/>
          <w:b/>
          <w:sz w:val="28"/>
          <w:szCs w:val="28"/>
        </w:rPr>
        <w:t>关于茶绕高速项目（望城段）110kV郭黑线迁改工程环境影响报告表审批前公示</w:t>
      </w:r>
    </w:p>
    <w:p w14:paraId="305B5BAB"/>
    <w:tbl>
      <w:tblPr>
        <w:tblStyle w:val="14"/>
        <w:tblW w:w="8934"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764"/>
        <w:gridCol w:w="7170"/>
      </w:tblGrid>
      <w:tr w14:paraId="119C33A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0" w:hRule="atLeast"/>
        </w:trPr>
        <w:tc>
          <w:tcPr>
            <w:tcW w:w="1764" w:type="dxa"/>
            <w:tcBorders>
              <w:top w:val="single" w:color="000000" w:sz="8" w:space="0"/>
              <w:left w:val="single" w:color="000000" w:sz="8" w:space="0"/>
              <w:bottom w:val="single" w:color="000000" w:sz="8" w:space="0"/>
              <w:right w:val="single" w:color="000000" w:sz="8" w:space="0"/>
            </w:tcBorders>
            <w:shd w:val="clear" w:color="auto" w:fill="auto"/>
            <w:tcMar>
              <w:left w:w="108" w:type="dxa"/>
              <w:right w:w="108" w:type="dxa"/>
            </w:tcMar>
            <w:vAlign w:val="center"/>
          </w:tcPr>
          <w:p w14:paraId="07FB54B8">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项目名称</w:t>
            </w:r>
          </w:p>
        </w:tc>
        <w:tc>
          <w:tcPr>
            <w:tcW w:w="7170" w:type="dxa"/>
            <w:tcBorders>
              <w:top w:val="single" w:color="000000" w:sz="8" w:space="0"/>
              <w:left w:val="nil"/>
              <w:bottom w:val="single" w:color="000000" w:sz="8" w:space="0"/>
              <w:right w:val="single" w:color="000000" w:sz="8" w:space="0"/>
            </w:tcBorders>
            <w:shd w:val="clear" w:color="auto" w:fill="auto"/>
            <w:tcMar>
              <w:left w:w="108" w:type="dxa"/>
              <w:right w:w="108" w:type="dxa"/>
            </w:tcMar>
          </w:tcPr>
          <w:p w14:paraId="5A323743">
            <w:pPr>
              <w:widowControl/>
              <w:spacing w:line="340" w:lineRule="atLeast"/>
              <w:jc w:val="left"/>
              <w:rPr>
                <w:rFonts w:hint="eastAsia" w:ascii="宋体" w:hAnsi="宋体" w:eastAsia="宋体" w:cs="宋体"/>
                <w:color w:val="262626"/>
                <w:kern w:val="0"/>
                <w:sz w:val="18"/>
                <w:szCs w:val="18"/>
                <w:lang w:eastAsia="zh-CN"/>
              </w:rPr>
            </w:pPr>
            <w:r>
              <w:rPr>
                <w:rFonts w:hint="eastAsia" w:ascii="宋体" w:hAnsi="宋体" w:eastAsia="宋体" w:cs="宋体"/>
                <w:color w:val="262626"/>
                <w:kern w:val="0"/>
                <w:sz w:val="18"/>
                <w:szCs w:val="18"/>
                <w:lang w:eastAsia="zh-CN"/>
              </w:rPr>
              <w:t>茶绕高速项目（望城段）110kV郭黑线迁改工程</w:t>
            </w:r>
          </w:p>
        </w:tc>
      </w:tr>
      <w:tr w14:paraId="473A0A5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5"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635AE56C">
            <w:pPr>
              <w:widowControl/>
              <w:spacing w:line="340" w:lineRule="atLeas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建设地点</w:t>
            </w:r>
          </w:p>
        </w:tc>
        <w:tc>
          <w:tcPr>
            <w:tcW w:w="7170" w:type="dxa"/>
            <w:tcBorders>
              <w:top w:val="nil"/>
              <w:left w:val="nil"/>
              <w:bottom w:val="single" w:color="000000" w:sz="8" w:space="0"/>
              <w:right w:val="single" w:color="000000" w:sz="8" w:space="0"/>
            </w:tcBorders>
            <w:shd w:val="clear" w:color="auto" w:fill="auto"/>
            <w:tcMar>
              <w:left w:w="108" w:type="dxa"/>
              <w:right w:w="108" w:type="dxa"/>
            </w:tcMar>
          </w:tcPr>
          <w:p w14:paraId="0BC4E569">
            <w:pPr>
              <w:widowControl/>
              <w:spacing w:line="340" w:lineRule="atLeast"/>
              <w:jc w:val="left"/>
              <w:rPr>
                <w:rFonts w:ascii="宋体" w:hAnsi="宋体" w:eastAsia="宋体" w:cs="宋体"/>
                <w:color w:val="262626"/>
                <w:kern w:val="0"/>
                <w:sz w:val="18"/>
                <w:szCs w:val="18"/>
              </w:rPr>
            </w:pPr>
            <w:r>
              <w:rPr>
                <w:rFonts w:hint="eastAsia" w:ascii="宋体" w:hAnsi="宋体" w:eastAsia="宋体" w:cs="宋体"/>
                <w:color w:val="262626"/>
                <w:kern w:val="0"/>
                <w:sz w:val="18"/>
                <w:szCs w:val="18"/>
              </w:rPr>
              <w:t>湖南省长沙市望城区茶亭镇戴公桥村、桥驿镇白石村</w:t>
            </w:r>
          </w:p>
        </w:tc>
      </w:tr>
      <w:tr w14:paraId="62DA0D1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5"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575FBEAE">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建设单位</w:t>
            </w:r>
          </w:p>
        </w:tc>
        <w:tc>
          <w:tcPr>
            <w:tcW w:w="7170" w:type="dxa"/>
            <w:tcBorders>
              <w:top w:val="nil"/>
              <w:left w:val="nil"/>
              <w:bottom w:val="single" w:color="000000" w:sz="8" w:space="0"/>
              <w:right w:val="single" w:color="000000" w:sz="8" w:space="0"/>
            </w:tcBorders>
            <w:shd w:val="clear" w:color="auto" w:fill="auto"/>
            <w:tcMar>
              <w:left w:w="108" w:type="dxa"/>
              <w:right w:w="108" w:type="dxa"/>
            </w:tcMar>
          </w:tcPr>
          <w:p w14:paraId="37360ECA">
            <w:pPr>
              <w:widowControl/>
              <w:spacing w:line="340" w:lineRule="atLeast"/>
              <w:jc w:val="left"/>
              <w:rPr>
                <w:rFonts w:ascii="宋体" w:hAnsi="宋体" w:eastAsia="宋体" w:cs="宋体"/>
                <w:color w:val="262626"/>
                <w:kern w:val="0"/>
                <w:sz w:val="18"/>
                <w:szCs w:val="18"/>
              </w:rPr>
            </w:pPr>
            <w:r>
              <w:rPr>
                <w:rFonts w:hint="eastAsia" w:ascii="宋体" w:hAnsi="宋体" w:eastAsia="宋体" w:cs="宋体"/>
                <w:color w:val="262626"/>
                <w:kern w:val="0"/>
                <w:sz w:val="18"/>
                <w:szCs w:val="18"/>
              </w:rPr>
              <w:t>湖南省茶江高速公路建设开发有限公司</w:t>
            </w:r>
          </w:p>
        </w:tc>
      </w:tr>
      <w:tr w14:paraId="2BD7C4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2BA41D1C">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环境影响评价机构</w:t>
            </w:r>
          </w:p>
        </w:tc>
        <w:tc>
          <w:tcPr>
            <w:tcW w:w="7170" w:type="dxa"/>
            <w:tcBorders>
              <w:top w:val="nil"/>
              <w:left w:val="nil"/>
              <w:bottom w:val="single" w:color="000000" w:sz="8" w:space="0"/>
              <w:right w:val="single" w:color="000000" w:sz="8" w:space="0"/>
            </w:tcBorders>
            <w:shd w:val="clear" w:color="auto" w:fill="auto"/>
            <w:tcMar>
              <w:left w:w="108" w:type="dxa"/>
              <w:right w:w="108" w:type="dxa"/>
            </w:tcMar>
          </w:tcPr>
          <w:p w14:paraId="3E16AAE0">
            <w:pPr>
              <w:widowControl/>
              <w:spacing w:line="340" w:lineRule="atLeast"/>
              <w:jc w:val="left"/>
              <w:rPr>
                <w:rFonts w:hint="eastAsia" w:ascii="宋体" w:hAnsi="宋体" w:eastAsia="宋体" w:cs="宋体"/>
                <w:color w:val="262626"/>
                <w:kern w:val="0"/>
                <w:sz w:val="18"/>
                <w:szCs w:val="18"/>
                <w:lang w:eastAsia="zh-CN"/>
              </w:rPr>
            </w:pPr>
            <w:r>
              <w:rPr>
                <w:rFonts w:hint="eastAsia" w:ascii="宋体" w:hAnsi="宋体" w:eastAsia="宋体" w:cs="宋体"/>
                <w:color w:val="262626"/>
                <w:kern w:val="0"/>
                <w:sz w:val="18"/>
                <w:szCs w:val="18"/>
                <w:lang w:val="en-US" w:eastAsia="zh-CN"/>
              </w:rPr>
              <w:t>湖南瑾杰环保科技有限公司</w:t>
            </w:r>
          </w:p>
        </w:tc>
      </w:tr>
      <w:tr w14:paraId="1E4FED5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17"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5ECB4CEC">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项目概况</w:t>
            </w:r>
          </w:p>
        </w:tc>
        <w:tc>
          <w:tcPr>
            <w:tcW w:w="7170" w:type="dxa"/>
            <w:tcBorders>
              <w:top w:val="nil"/>
              <w:left w:val="nil"/>
              <w:bottom w:val="single" w:color="000000" w:sz="8" w:space="0"/>
              <w:right w:val="single" w:color="000000" w:sz="8" w:space="0"/>
            </w:tcBorders>
            <w:shd w:val="clear" w:color="auto" w:fill="auto"/>
            <w:tcMar>
              <w:left w:w="108" w:type="dxa"/>
              <w:right w:w="108" w:type="dxa"/>
            </w:tcMar>
            <w:vAlign w:val="center"/>
          </w:tcPr>
          <w:p w14:paraId="07B20941">
            <w:pPr>
              <w:widowControl/>
              <w:spacing w:line="340" w:lineRule="atLeast"/>
              <w:ind w:firstLine="360" w:firstLineChars="200"/>
              <w:jc w:val="left"/>
              <w:rPr>
                <w:rFonts w:hint="eastAsia" w:ascii="宋体" w:hAnsi="宋体" w:eastAsia="宋体" w:cs="宋体"/>
                <w:color w:val="262626"/>
                <w:kern w:val="0"/>
                <w:sz w:val="18"/>
                <w:szCs w:val="18"/>
                <w:lang w:eastAsia="zh-CN"/>
              </w:rPr>
            </w:pPr>
            <w:r>
              <w:rPr>
                <w:rFonts w:hint="eastAsia" w:ascii="宋体" w:hAnsi="宋体" w:eastAsia="宋体" w:cs="宋体"/>
                <w:color w:val="262626"/>
                <w:kern w:val="0"/>
                <w:sz w:val="18"/>
                <w:szCs w:val="18"/>
              </w:rPr>
              <w:t>本工程线路起于原110kV郭黑线027#小号侧新立终端塔，止于原110kV郭黑线032#大号侧新立终端塔。线路路径长约1.584km，新建杆塔7基</w:t>
            </w:r>
            <w:r>
              <w:rPr>
                <w:rFonts w:hint="eastAsia" w:ascii="宋体" w:hAnsi="宋体" w:eastAsia="宋体" w:cs="宋体"/>
                <w:color w:val="262626"/>
                <w:kern w:val="0"/>
                <w:sz w:val="18"/>
                <w:szCs w:val="18"/>
                <w:lang w:eastAsia="zh-CN"/>
              </w:rPr>
              <w:t>。拆除原110kV郭黑线6基杆塔，拆除导地线路径长约1.5km。</w:t>
            </w:r>
          </w:p>
        </w:tc>
      </w:tr>
      <w:tr w14:paraId="067BE2B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590"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257EFB5E">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主要环境影响及预防或者减轻不良环境影响的对策和措施</w:t>
            </w:r>
          </w:p>
        </w:tc>
        <w:tc>
          <w:tcPr>
            <w:tcW w:w="7170" w:type="dxa"/>
            <w:tcBorders>
              <w:top w:val="nil"/>
              <w:left w:val="nil"/>
              <w:bottom w:val="single" w:color="000000" w:sz="8" w:space="0"/>
              <w:right w:val="single" w:color="000000" w:sz="8" w:space="0"/>
            </w:tcBorders>
            <w:shd w:val="clear" w:color="auto" w:fill="auto"/>
            <w:tcMar>
              <w:left w:w="108" w:type="dxa"/>
              <w:right w:w="108" w:type="dxa"/>
            </w:tcMar>
            <w:vAlign w:val="center"/>
          </w:tcPr>
          <w:p w14:paraId="58B756A8">
            <w:pPr>
              <w:widowControl/>
              <w:spacing w:line="340" w:lineRule="atLeast"/>
              <w:ind w:firstLine="360" w:firstLineChars="200"/>
              <w:jc w:val="left"/>
              <w:rPr>
                <w:rFonts w:hint="eastAsia" w:ascii="Times New Roman" w:hAnsi="Times New Roman" w:eastAsia="宋体" w:cs="Times New Roman"/>
                <w:color w:val="auto"/>
                <w:kern w:val="0"/>
                <w:sz w:val="18"/>
                <w:szCs w:val="18"/>
                <w:lang w:val="en-US" w:eastAsia="zh-CN"/>
              </w:rPr>
            </w:pPr>
            <w:r>
              <w:rPr>
                <w:rFonts w:ascii="Times New Roman" w:hAnsi="Times New Roman" w:eastAsia="宋体" w:cs="Times New Roman"/>
                <w:color w:val="auto"/>
                <w:kern w:val="0"/>
                <w:sz w:val="18"/>
                <w:szCs w:val="18"/>
              </w:rPr>
              <w:t>废气治理</w:t>
            </w:r>
            <w:r>
              <w:rPr>
                <w:rFonts w:hint="eastAsia" w:ascii="Times New Roman" w:hAnsi="Times New Roman" w:eastAsia="宋体" w:cs="Times New Roman"/>
                <w:color w:val="auto"/>
                <w:kern w:val="0"/>
                <w:sz w:val="18"/>
                <w:szCs w:val="18"/>
              </w:rPr>
              <w:t>—施工过程中应文明施工，加强施工期的环境管理和环境监控工作</w:t>
            </w:r>
            <w:r>
              <w:rPr>
                <w:rFonts w:hint="eastAsia" w:ascii="Times New Roman" w:hAnsi="Times New Roman" w:eastAsia="宋体" w:cs="Times New Roman"/>
                <w:color w:val="auto"/>
                <w:kern w:val="0"/>
                <w:sz w:val="18"/>
                <w:szCs w:val="18"/>
                <w:lang w:eastAsia="zh-CN"/>
              </w:rPr>
              <w:t>；临时堆土应及时苫盖、干燥天气下易起尘的裸露土地及时洒水抑尘。</w:t>
            </w:r>
          </w:p>
          <w:p w14:paraId="3D4EB002">
            <w:pPr>
              <w:widowControl/>
              <w:spacing w:line="340" w:lineRule="atLeast"/>
              <w:ind w:firstLine="360" w:firstLineChars="200"/>
              <w:jc w:val="left"/>
              <w:rPr>
                <w:rFonts w:hint="eastAsia" w:ascii="Times New Roman" w:hAnsi="Times New Roman" w:eastAsia="宋体" w:cs="Times New Roman"/>
                <w:color w:val="auto"/>
                <w:kern w:val="0"/>
                <w:sz w:val="18"/>
                <w:szCs w:val="18"/>
              </w:rPr>
            </w:pPr>
            <w:r>
              <w:rPr>
                <w:rFonts w:ascii="Times New Roman" w:hAnsi="Times New Roman" w:eastAsia="宋体" w:cs="Times New Roman"/>
                <w:color w:val="auto"/>
                <w:kern w:val="0"/>
                <w:sz w:val="18"/>
                <w:szCs w:val="18"/>
              </w:rPr>
              <w:t>废</w:t>
            </w:r>
            <w:r>
              <w:rPr>
                <w:rFonts w:hint="eastAsia" w:ascii="Times New Roman" w:hAnsi="Times New Roman" w:eastAsia="宋体" w:cs="Times New Roman"/>
                <w:color w:val="auto"/>
                <w:kern w:val="0"/>
                <w:sz w:val="18"/>
                <w:szCs w:val="18"/>
              </w:rPr>
              <w:t>水</w:t>
            </w:r>
            <w:r>
              <w:rPr>
                <w:rFonts w:ascii="Times New Roman" w:hAnsi="Times New Roman" w:eastAsia="宋体" w:cs="Times New Roman"/>
                <w:color w:val="auto"/>
                <w:kern w:val="0"/>
                <w:sz w:val="18"/>
                <w:szCs w:val="18"/>
              </w:rPr>
              <w:t>治理</w:t>
            </w:r>
            <w:r>
              <w:rPr>
                <w:rFonts w:hint="eastAsia" w:ascii="Times New Roman" w:hAnsi="Times New Roman" w:eastAsia="宋体" w:cs="Times New Roman"/>
                <w:color w:val="auto"/>
                <w:kern w:val="0"/>
                <w:sz w:val="18"/>
                <w:szCs w:val="18"/>
              </w:rPr>
              <w:t>—本工程施工污水主要来自施工人员的生活污水和少量施工废水</w:t>
            </w:r>
            <w:r>
              <w:rPr>
                <w:rFonts w:hint="eastAsia" w:ascii="Times New Roman" w:hAnsi="Times New Roman" w:eastAsia="宋体" w:cs="Times New Roman"/>
                <w:color w:val="auto"/>
                <w:kern w:val="0"/>
                <w:sz w:val="18"/>
                <w:szCs w:val="18"/>
                <w:lang w:eastAsia="zh-CN"/>
              </w:rPr>
              <w:t>。</w:t>
            </w:r>
            <w:r>
              <w:rPr>
                <w:rFonts w:hint="eastAsia" w:ascii="Times New Roman" w:hAnsi="Times New Roman" w:eastAsia="宋体" w:cs="Times New Roman"/>
                <w:color w:val="auto"/>
                <w:kern w:val="0"/>
                <w:sz w:val="18"/>
                <w:szCs w:val="18"/>
              </w:rPr>
              <w:t>施工人员产生的生活污水依托民房内现有污水处理设施处理</w:t>
            </w:r>
            <w:r>
              <w:rPr>
                <w:rFonts w:hint="eastAsia" w:ascii="Times New Roman" w:hAnsi="Times New Roman" w:eastAsia="宋体" w:cs="Times New Roman"/>
                <w:color w:val="auto"/>
                <w:kern w:val="0"/>
                <w:sz w:val="18"/>
                <w:szCs w:val="18"/>
                <w:lang w:eastAsia="zh-CN"/>
              </w:rPr>
              <w:t>；</w:t>
            </w:r>
            <w:r>
              <w:rPr>
                <w:rFonts w:hint="eastAsia" w:ascii="Times New Roman" w:hAnsi="Times New Roman" w:eastAsia="宋体" w:cs="Times New Roman"/>
                <w:color w:val="auto"/>
                <w:kern w:val="0"/>
                <w:sz w:val="18"/>
                <w:szCs w:val="18"/>
              </w:rPr>
              <w:t>施工废水主要为雨水冲刷开挖土方及裸露场地产生的泥浆水及灌注桩基础施工过程中产生的泥浆水</w:t>
            </w:r>
            <w:r>
              <w:rPr>
                <w:rFonts w:hint="eastAsia" w:ascii="Times New Roman" w:hAnsi="Times New Roman" w:eastAsia="宋体" w:cs="Times New Roman"/>
                <w:color w:val="auto"/>
                <w:kern w:val="0"/>
                <w:sz w:val="18"/>
                <w:szCs w:val="18"/>
                <w:lang w:eastAsia="zh-CN"/>
              </w:rPr>
              <w:t>，</w:t>
            </w:r>
            <w:r>
              <w:rPr>
                <w:rFonts w:hint="eastAsia" w:ascii="Times New Roman" w:hAnsi="Times New Roman" w:eastAsia="宋体" w:cs="Times New Roman"/>
                <w:color w:val="auto"/>
                <w:kern w:val="0"/>
                <w:sz w:val="18"/>
                <w:szCs w:val="18"/>
                <w:lang w:val="en-US" w:eastAsia="zh-CN"/>
              </w:rPr>
              <w:t>应</w:t>
            </w:r>
            <w:r>
              <w:rPr>
                <w:rFonts w:hint="eastAsia" w:ascii="Times New Roman" w:hAnsi="Times New Roman" w:eastAsia="宋体" w:cs="Times New Roman"/>
                <w:color w:val="auto"/>
                <w:kern w:val="0"/>
                <w:sz w:val="18"/>
                <w:szCs w:val="18"/>
                <w:lang w:eastAsia="zh-CN"/>
              </w:rPr>
              <w:t>合理安排工期，避免雨天土石方施工，施工过程中临时堆土在指定地点堆放，并进行苫盖，防止雨水冲刷产生的泥浆水。灌注桩基础施工产生的施工废水回流入制浆池循环使用</w:t>
            </w:r>
            <w:r>
              <w:rPr>
                <w:rFonts w:hint="eastAsia" w:ascii="Times New Roman" w:hAnsi="Times New Roman" w:eastAsia="宋体" w:cs="Times New Roman"/>
                <w:color w:val="auto"/>
                <w:kern w:val="0"/>
                <w:sz w:val="18"/>
                <w:szCs w:val="18"/>
              </w:rPr>
              <w:t>。</w:t>
            </w:r>
          </w:p>
          <w:p w14:paraId="50B3BE5F">
            <w:pPr>
              <w:widowControl/>
              <w:spacing w:line="340" w:lineRule="atLeast"/>
              <w:ind w:firstLine="360" w:firstLineChars="200"/>
              <w:jc w:val="left"/>
              <w:rPr>
                <w:rFonts w:ascii="宋体" w:hAnsi="宋体" w:eastAsia="宋体" w:cs="宋体"/>
                <w:color w:val="auto"/>
                <w:kern w:val="0"/>
                <w:sz w:val="18"/>
                <w:szCs w:val="18"/>
              </w:rPr>
            </w:pPr>
            <w:r>
              <w:rPr>
                <w:rFonts w:hint="eastAsia" w:ascii="宋体" w:hAnsi="宋体" w:eastAsia="宋体" w:cs="宋体"/>
                <w:color w:val="auto"/>
                <w:kern w:val="0"/>
                <w:sz w:val="18"/>
                <w:szCs w:val="18"/>
              </w:rPr>
              <w:t>噪声治理—施工单位</w:t>
            </w:r>
            <w:r>
              <w:rPr>
                <w:rFonts w:hint="eastAsia" w:ascii="宋体" w:hAnsi="宋体" w:eastAsia="宋体" w:cs="宋体"/>
                <w:color w:val="auto"/>
                <w:kern w:val="0"/>
                <w:sz w:val="18"/>
                <w:szCs w:val="18"/>
                <w:lang w:val="en-US" w:eastAsia="zh-CN"/>
              </w:rPr>
              <w:t>应</w:t>
            </w:r>
            <w:r>
              <w:rPr>
                <w:rFonts w:hint="eastAsia" w:ascii="宋体" w:hAnsi="宋体" w:eastAsia="宋体" w:cs="宋体"/>
                <w:color w:val="auto"/>
                <w:kern w:val="0"/>
                <w:sz w:val="18"/>
                <w:szCs w:val="18"/>
              </w:rPr>
              <w:t>采用噪声水平满足国家相应标准的施工机械设备。施工期间应当注意运输建材车辆通往施工现场对沿途居民的影响，应采取防范措施减少对居民点影响，如绕行居民集中区，途</w:t>
            </w:r>
            <w:r>
              <w:rPr>
                <w:rFonts w:hint="eastAsia" w:ascii="宋体" w:hAnsi="宋体" w:eastAsia="宋体" w:cs="宋体"/>
                <w:color w:val="auto"/>
                <w:kern w:val="0"/>
                <w:sz w:val="18"/>
                <w:szCs w:val="18"/>
                <w:lang w:val="en-US" w:eastAsia="zh-CN"/>
              </w:rPr>
              <w:t>经</w:t>
            </w:r>
            <w:r>
              <w:rPr>
                <w:rFonts w:hint="eastAsia" w:ascii="宋体" w:hAnsi="宋体" w:eastAsia="宋体" w:cs="宋体"/>
                <w:color w:val="auto"/>
                <w:kern w:val="0"/>
                <w:sz w:val="18"/>
                <w:szCs w:val="18"/>
              </w:rPr>
              <w:t>居民密集区时禁止鸣笛和减缓车速等。</w:t>
            </w:r>
          </w:p>
          <w:p w14:paraId="029CB696">
            <w:pPr>
              <w:widowControl/>
              <w:spacing w:line="340" w:lineRule="atLeast"/>
              <w:ind w:firstLine="360" w:firstLineChars="200"/>
              <w:jc w:val="left"/>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rPr>
              <w:t>固废治理—</w:t>
            </w:r>
            <w:r>
              <w:rPr>
                <w:rFonts w:hint="eastAsia" w:ascii="宋体" w:hAnsi="宋体" w:eastAsia="宋体" w:cs="宋体"/>
                <w:color w:val="auto"/>
                <w:kern w:val="0"/>
                <w:sz w:val="18"/>
                <w:szCs w:val="18"/>
                <w:lang w:val="en-US" w:eastAsia="zh-CN"/>
              </w:rPr>
              <w:t>本项目</w:t>
            </w:r>
            <w:r>
              <w:rPr>
                <w:rFonts w:hint="eastAsia" w:ascii="宋体" w:hAnsi="宋体" w:eastAsia="宋体" w:cs="宋体"/>
                <w:color w:val="auto"/>
                <w:kern w:val="0"/>
                <w:sz w:val="18"/>
                <w:szCs w:val="18"/>
              </w:rPr>
              <w:t>施工期固体废物主要为弃土弃渣、建筑垃圾以及杆塔拆除过程中产生的塔材、导线、金具、绝缘子及基础拆除的固废等。杆塔基础开挖产生的少量余土尽量在施工结束后于塔基范围内进行平整，并在表面进行植被恢复</w:t>
            </w:r>
            <w:r>
              <w:rPr>
                <w:rFonts w:hint="eastAsia" w:ascii="宋体" w:hAnsi="宋体" w:eastAsia="宋体" w:cs="宋体"/>
                <w:color w:val="auto"/>
                <w:kern w:val="0"/>
                <w:sz w:val="18"/>
                <w:szCs w:val="18"/>
                <w:lang w:eastAsia="zh-CN"/>
              </w:rPr>
              <w:t>；</w:t>
            </w:r>
            <w:r>
              <w:rPr>
                <w:rFonts w:hint="eastAsia" w:ascii="宋体" w:hAnsi="宋体" w:eastAsia="宋体" w:cs="宋体"/>
                <w:color w:val="auto"/>
                <w:kern w:val="0"/>
                <w:sz w:val="18"/>
                <w:szCs w:val="18"/>
                <w:lang w:val="en-US" w:eastAsia="zh-CN"/>
              </w:rPr>
              <w:t>施工现场设置封闭式垃圾容器，施工场地生活垃圾实行袋装化，及时送至就近垃圾站处理。对建筑垃圾进行分类处理，并收集到指定地点，集中运出。</w:t>
            </w:r>
            <w:r>
              <w:rPr>
                <w:rFonts w:hint="eastAsia" w:ascii="宋体" w:hAnsi="宋体" w:eastAsia="宋体" w:cs="宋体"/>
                <w:color w:val="auto"/>
                <w:kern w:val="0"/>
                <w:sz w:val="18"/>
                <w:szCs w:val="18"/>
                <w:lang w:eastAsia="zh-CN"/>
              </w:rPr>
              <w:t>拆除的塔材、金具及基础等固废进行回收利用或送至政府部门指定地点处置，不得随意丢弃</w:t>
            </w:r>
            <w:r>
              <w:rPr>
                <w:rFonts w:hint="eastAsia" w:ascii="宋体" w:hAnsi="宋体" w:eastAsia="宋体" w:cs="宋体"/>
                <w:color w:val="auto"/>
                <w:kern w:val="0"/>
                <w:sz w:val="18"/>
                <w:szCs w:val="18"/>
              </w:rPr>
              <w:t>。</w:t>
            </w:r>
          </w:p>
          <w:p w14:paraId="6B457E9F">
            <w:pPr>
              <w:widowControl/>
              <w:spacing w:line="340" w:lineRule="atLeast"/>
              <w:ind w:firstLine="360" w:firstLineChars="200"/>
              <w:jc w:val="left"/>
              <w:rPr>
                <w:rFonts w:hint="eastAsia" w:eastAsia="宋体"/>
                <w:color w:val="0000FF"/>
                <w:lang w:eastAsia="zh-CN"/>
              </w:rPr>
            </w:pPr>
            <w:r>
              <w:rPr>
                <w:rFonts w:hint="eastAsia" w:ascii="宋体" w:hAnsi="宋体" w:eastAsia="宋体" w:cs="宋体"/>
                <w:color w:val="auto"/>
                <w:kern w:val="0"/>
                <w:sz w:val="18"/>
                <w:szCs w:val="18"/>
              </w:rPr>
              <w:t>生态环境治理—</w:t>
            </w:r>
            <w:r>
              <w:rPr>
                <w:rFonts w:hint="eastAsia" w:ascii="宋体" w:hAnsi="宋体" w:eastAsia="宋体" w:cs="宋体"/>
                <w:color w:val="auto"/>
                <w:kern w:val="0"/>
                <w:sz w:val="18"/>
                <w:szCs w:val="18"/>
                <w:lang w:val="en-US" w:eastAsia="zh-CN"/>
              </w:rPr>
              <w:t>塔基施工区及施工临时道路等按划定范围清理地表植被，严禁乱砍滥伐，场地平整前进行表土剥离，并于指定地点存放，</w:t>
            </w:r>
            <w:bookmarkStart w:id="0" w:name="_GoBack"/>
            <w:bookmarkEnd w:id="0"/>
            <w:r>
              <w:rPr>
                <w:rFonts w:hint="eastAsia" w:ascii="宋体" w:hAnsi="宋体" w:eastAsia="宋体" w:cs="宋体"/>
                <w:color w:val="auto"/>
                <w:kern w:val="0"/>
                <w:sz w:val="18"/>
                <w:szCs w:val="18"/>
                <w:lang w:val="en-US" w:eastAsia="zh-CN"/>
              </w:rPr>
              <w:t>待施工结束后将剥离的表土回填并及时复绿，杆塔拆除宜选择附近空地或植被稀疏处堆放塔材及绝缘子等物料，尽量减少砍伐地表植被，杆塔及基础拆除后及时对原杆塔永久占地及拆除过程中的临时占地进行生态恢复，农田范围内塔基基础施工采用分层开挖保护好耕作土层，施工结束后分层回填，并及时对施工区域进行清理复耕，做到“工完、料尽、场地清”。</w:t>
            </w:r>
          </w:p>
        </w:tc>
      </w:tr>
      <w:tr w14:paraId="3905002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tcPr>
          <w:p w14:paraId="5515DC21">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公众参与情况</w:t>
            </w:r>
          </w:p>
        </w:tc>
        <w:tc>
          <w:tcPr>
            <w:tcW w:w="7170" w:type="dxa"/>
            <w:tcBorders>
              <w:top w:val="nil"/>
              <w:left w:val="nil"/>
              <w:bottom w:val="single" w:color="000000" w:sz="8" w:space="0"/>
              <w:right w:val="single" w:color="000000" w:sz="8" w:space="0"/>
            </w:tcBorders>
            <w:shd w:val="clear" w:color="auto" w:fill="auto"/>
            <w:tcMar>
              <w:left w:w="108" w:type="dxa"/>
              <w:right w:w="108" w:type="dxa"/>
            </w:tcMar>
          </w:tcPr>
          <w:p w14:paraId="086DDC36">
            <w:pPr>
              <w:widowControl/>
              <w:spacing w:line="340" w:lineRule="atLeast"/>
              <w:jc w:val="center"/>
              <w:rPr>
                <w:rFonts w:ascii="宋体" w:hAnsi="宋体" w:cs="宋体"/>
                <w:color w:val="000000"/>
                <w:kern w:val="0"/>
                <w:sz w:val="18"/>
                <w:szCs w:val="18"/>
              </w:rPr>
            </w:pPr>
            <w:r>
              <w:rPr>
                <w:rFonts w:hint="eastAsia" w:ascii="宋体" w:hAnsi="宋体" w:eastAsia="宋体" w:cs="宋体"/>
                <w:color w:val="262626"/>
                <w:kern w:val="0"/>
                <w:sz w:val="18"/>
                <w:szCs w:val="18"/>
              </w:rPr>
              <w:t>无</w:t>
            </w:r>
          </w:p>
        </w:tc>
      </w:tr>
      <w:tr w14:paraId="509AE8F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8"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25233AD1">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听证权利告知</w:t>
            </w:r>
          </w:p>
        </w:tc>
        <w:tc>
          <w:tcPr>
            <w:tcW w:w="7170" w:type="dxa"/>
            <w:tcBorders>
              <w:top w:val="nil"/>
              <w:left w:val="nil"/>
              <w:bottom w:val="single" w:color="000000" w:sz="8" w:space="0"/>
              <w:right w:val="single" w:color="000000" w:sz="8" w:space="0"/>
            </w:tcBorders>
            <w:shd w:val="clear" w:color="auto" w:fill="auto"/>
            <w:tcMar>
              <w:left w:w="108" w:type="dxa"/>
              <w:right w:w="108" w:type="dxa"/>
            </w:tcMar>
          </w:tcPr>
          <w:p w14:paraId="7BB4F459">
            <w:pPr>
              <w:widowControl/>
              <w:spacing w:line="340" w:lineRule="atLeast"/>
              <w:jc w:val="left"/>
              <w:rPr>
                <w:rFonts w:ascii="宋体" w:hAnsi="宋体" w:eastAsia="宋体" w:cs="宋体"/>
                <w:color w:val="262626"/>
                <w:kern w:val="0"/>
                <w:sz w:val="18"/>
                <w:szCs w:val="18"/>
              </w:rPr>
            </w:pPr>
            <w:r>
              <w:rPr>
                <w:rFonts w:hint="eastAsia" w:ascii="宋体" w:hAnsi="宋体" w:eastAsia="宋体" w:cs="宋体"/>
                <w:color w:val="262626"/>
                <w:kern w:val="0"/>
                <w:sz w:val="18"/>
                <w:szCs w:val="18"/>
              </w:rPr>
              <w:t>根据《中华人民共和国行政许可法》,自公示</w:t>
            </w:r>
            <w:r>
              <w:rPr>
                <w:rFonts w:hint="eastAsia" w:ascii="宋体" w:hAnsi="宋体" w:eastAsia="宋体" w:cs="宋体"/>
                <w:kern w:val="0"/>
                <w:sz w:val="18"/>
                <w:szCs w:val="18"/>
              </w:rPr>
              <w:t>之日（</w:t>
            </w:r>
            <w:r>
              <w:rPr>
                <w:rFonts w:hint="eastAsia" w:ascii="宋体" w:hAnsi="宋体" w:eastAsia="宋体" w:cs="宋体"/>
                <w:color w:val="auto"/>
                <w:kern w:val="0"/>
                <w:sz w:val="18"/>
                <w:szCs w:val="18"/>
                <w:highlight w:val="none"/>
              </w:rPr>
              <w:t>202</w:t>
            </w:r>
            <w:r>
              <w:rPr>
                <w:rFonts w:hint="eastAsia" w:ascii="宋体" w:hAnsi="宋体" w:eastAsia="宋体" w:cs="宋体"/>
                <w:color w:val="auto"/>
                <w:kern w:val="0"/>
                <w:sz w:val="18"/>
                <w:szCs w:val="18"/>
                <w:highlight w:val="none"/>
                <w:lang w:val="en-US" w:eastAsia="zh-CN"/>
              </w:rPr>
              <w:t>5</w:t>
            </w:r>
            <w:r>
              <w:rPr>
                <w:rFonts w:hint="eastAsia" w:ascii="宋体" w:hAnsi="宋体" w:eastAsia="宋体" w:cs="宋体"/>
                <w:color w:val="auto"/>
                <w:kern w:val="0"/>
                <w:sz w:val="18"/>
                <w:szCs w:val="18"/>
                <w:highlight w:val="none"/>
              </w:rPr>
              <w:t>年</w:t>
            </w:r>
            <w:r>
              <w:rPr>
                <w:rFonts w:hint="eastAsia" w:ascii="宋体" w:hAnsi="宋体" w:eastAsia="宋体" w:cs="宋体"/>
                <w:color w:val="auto"/>
                <w:kern w:val="0"/>
                <w:sz w:val="18"/>
                <w:szCs w:val="18"/>
                <w:highlight w:val="none"/>
                <w:lang w:val="en-US" w:eastAsia="zh-CN"/>
              </w:rPr>
              <w:t>12</w:t>
            </w:r>
            <w:r>
              <w:rPr>
                <w:rFonts w:hint="eastAsia" w:ascii="宋体" w:hAnsi="宋体" w:eastAsia="宋体" w:cs="宋体"/>
                <w:color w:val="auto"/>
                <w:kern w:val="0"/>
                <w:sz w:val="18"/>
                <w:szCs w:val="18"/>
                <w:highlight w:val="none"/>
              </w:rPr>
              <w:t>月</w:t>
            </w:r>
            <w:r>
              <w:rPr>
                <w:rFonts w:hint="eastAsia" w:ascii="宋体" w:hAnsi="宋体" w:eastAsia="宋体" w:cs="宋体"/>
                <w:color w:val="auto"/>
                <w:kern w:val="0"/>
                <w:sz w:val="18"/>
                <w:szCs w:val="18"/>
                <w:highlight w:val="none"/>
                <w:lang w:val="en-US" w:eastAsia="zh-CN"/>
              </w:rPr>
              <w:t>31</w:t>
            </w:r>
            <w:r>
              <w:rPr>
                <w:rFonts w:hint="eastAsia" w:ascii="宋体" w:hAnsi="宋体" w:eastAsia="宋体" w:cs="宋体"/>
                <w:color w:val="auto"/>
                <w:kern w:val="0"/>
                <w:sz w:val="18"/>
                <w:szCs w:val="18"/>
                <w:highlight w:val="none"/>
              </w:rPr>
              <w:t>日</w:t>
            </w:r>
            <w:r>
              <w:rPr>
                <w:rFonts w:hint="eastAsia" w:ascii="宋体" w:hAnsi="宋体" w:eastAsia="宋体" w:cs="宋体"/>
                <w:kern w:val="0"/>
                <w:sz w:val="18"/>
                <w:szCs w:val="18"/>
              </w:rPr>
              <w:t>）起5</w:t>
            </w:r>
            <w:r>
              <w:rPr>
                <w:rFonts w:hint="eastAsia" w:ascii="宋体" w:hAnsi="宋体" w:eastAsia="宋体" w:cs="宋体"/>
                <w:color w:val="262626"/>
                <w:kern w:val="0"/>
                <w:sz w:val="18"/>
                <w:szCs w:val="18"/>
              </w:rPr>
              <w:t>个工作日内,申请人、利害关系人可对拟作出的建设项目环境影响评价文件审批意见要求听证。</w:t>
            </w:r>
          </w:p>
        </w:tc>
      </w:tr>
      <w:tr w14:paraId="51ADF67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39" w:hRule="atLeast"/>
        </w:trPr>
        <w:tc>
          <w:tcPr>
            <w:tcW w:w="1764" w:type="dxa"/>
            <w:tcBorders>
              <w:top w:val="nil"/>
              <w:left w:val="single" w:color="000000" w:sz="8" w:space="0"/>
              <w:bottom w:val="single" w:color="000000" w:sz="8" w:space="0"/>
              <w:right w:val="single" w:color="000000" w:sz="8" w:space="0"/>
            </w:tcBorders>
            <w:shd w:val="clear" w:color="auto" w:fill="auto"/>
            <w:tcMar>
              <w:left w:w="108" w:type="dxa"/>
              <w:right w:w="108" w:type="dxa"/>
            </w:tcMar>
            <w:vAlign w:val="center"/>
          </w:tcPr>
          <w:p w14:paraId="7825734C">
            <w:pPr>
              <w:widowControl/>
              <w:spacing w:line="340" w:lineRule="atLeast"/>
              <w:jc w:val="center"/>
              <w:rPr>
                <w:rFonts w:ascii="微软雅黑" w:hAnsi="微软雅黑" w:eastAsia="微软雅黑" w:cs="微软雅黑"/>
                <w:color w:val="auto"/>
                <w:sz w:val="16"/>
                <w:szCs w:val="16"/>
              </w:rPr>
            </w:pPr>
            <w:r>
              <w:rPr>
                <w:rFonts w:hint="eastAsia" w:ascii="宋体" w:hAnsi="宋体" w:eastAsia="宋体" w:cs="宋体"/>
                <w:color w:val="auto"/>
                <w:kern w:val="0"/>
                <w:sz w:val="18"/>
                <w:szCs w:val="18"/>
              </w:rPr>
              <w:t>公众反馈意见的联系方式</w:t>
            </w:r>
          </w:p>
        </w:tc>
        <w:tc>
          <w:tcPr>
            <w:tcW w:w="7170" w:type="dxa"/>
            <w:tcBorders>
              <w:top w:val="nil"/>
              <w:left w:val="nil"/>
              <w:bottom w:val="single" w:color="000000" w:sz="8" w:space="0"/>
              <w:right w:val="single" w:color="000000" w:sz="8" w:space="0"/>
            </w:tcBorders>
            <w:shd w:val="clear" w:color="auto" w:fill="auto"/>
            <w:tcMar>
              <w:left w:w="108" w:type="dxa"/>
              <w:right w:w="108" w:type="dxa"/>
            </w:tcMar>
          </w:tcPr>
          <w:p w14:paraId="7167A886">
            <w:pPr>
              <w:widowControl/>
              <w:spacing w:line="340" w:lineRule="atLeast"/>
              <w:jc w:val="left"/>
              <w:rPr>
                <w:rFonts w:ascii="宋体" w:hAnsi="宋体" w:eastAsia="宋体" w:cs="宋体"/>
                <w:color w:val="262626"/>
                <w:sz w:val="18"/>
                <w:szCs w:val="18"/>
              </w:rPr>
            </w:pPr>
            <w:r>
              <w:rPr>
                <w:rFonts w:hint="eastAsia" w:ascii="宋体" w:hAnsi="宋体" w:eastAsia="宋体" w:cs="宋体"/>
                <w:color w:val="262626"/>
                <w:sz w:val="18"/>
                <w:szCs w:val="18"/>
              </w:rPr>
              <w:t>联系方式：0731-88081950</w:t>
            </w:r>
          </w:p>
          <w:p w14:paraId="0DE52602">
            <w:pPr>
              <w:widowControl/>
              <w:spacing w:line="340" w:lineRule="atLeast"/>
              <w:jc w:val="left"/>
              <w:rPr>
                <w:rFonts w:ascii="宋体" w:hAnsi="宋体" w:eastAsia="宋体" w:cs="宋体"/>
                <w:color w:val="262626"/>
                <w:sz w:val="18"/>
                <w:szCs w:val="18"/>
              </w:rPr>
            </w:pPr>
            <w:r>
              <w:rPr>
                <w:rFonts w:hint="eastAsia" w:ascii="宋体" w:hAnsi="宋体" w:eastAsia="宋体" w:cs="宋体"/>
                <w:color w:val="262626"/>
                <w:sz w:val="18"/>
                <w:szCs w:val="18"/>
              </w:rPr>
              <w:t>通讯地址：望城区高塘岭街道望府路198号政务服务中心生态环境分局窗口</w:t>
            </w:r>
          </w:p>
          <w:p w14:paraId="58E1E873">
            <w:pPr>
              <w:widowControl/>
              <w:spacing w:line="340" w:lineRule="atLeast"/>
              <w:jc w:val="left"/>
              <w:rPr>
                <w:rFonts w:ascii="微软雅黑" w:hAnsi="微软雅黑" w:eastAsia="微软雅黑" w:cs="微软雅黑"/>
                <w:color w:val="262626"/>
                <w:sz w:val="16"/>
                <w:szCs w:val="16"/>
              </w:rPr>
            </w:pPr>
            <w:r>
              <w:rPr>
                <w:rFonts w:hint="eastAsia" w:ascii="宋体" w:hAnsi="宋体" w:eastAsia="宋体" w:cs="宋体"/>
                <w:color w:val="262626"/>
                <w:sz w:val="18"/>
                <w:szCs w:val="18"/>
              </w:rPr>
              <w:t>邮政编码：410200</w:t>
            </w:r>
          </w:p>
        </w:tc>
      </w:tr>
    </w:tbl>
    <w:p w14:paraId="5F2A212D">
      <w:pPr>
        <w:jc w:val="right"/>
        <w:rPr>
          <w:rFonts w:ascii="宋体" w:hAnsi="宋体" w:eastAsia="宋体" w:cs="宋体"/>
          <w:color w:val="262626"/>
          <w:kern w:val="0"/>
          <w:sz w:val="18"/>
          <w:szCs w:val="18"/>
          <w:highlight w:val="none"/>
        </w:rPr>
      </w:pPr>
      <w:r>
        <w:rPr>
          <w:rFonts w:hint="eastAsia" w:ascii="宋体" w:hAnsi="宋体" w:eastAsia="宋体" w:cs="宋体"/>
          <w:color w:val="262626"/>
          <w:kern w:val="0"/>
          <w:sz w:val="18"/>
          <w:szCs w:val="18"/>
        </w:rPr>
        <w:t xml:space="preserve">                                                                   长沙市生态环境局望城分局</w:t>
      </w:r>
      <w:r>
        <w:rPr>
          <w:rFonts w:hint="eastAsia" w:ascii="宋体" w:hAnsi="宋体" w:eastAsia="宋体" w:cs="宋体"/>
          <w:color w:val="auto"/>
          <w:kern w:val="0"/>
          <w:sz w:val="18"/>
          <w:szCs w:val="18"/>
          <w:highlight w:val="none"/>
        </w:rPr>
        <w:t>202</w:t>
      </w:r>
      <w:r>
        <w:rPr>
          <w:rFonts w:hint="eastAsia" w:ascii="宋体" w:hAnsi="宋体" w:eastAsia="宋体" w:cs="宋体"/>
          <w:color w:val="auto"/>
          <w:kern w:val="0"/>
          <w:sz w:val="18"/>
          <w:szCs w:val="18"/>
          <w:highlight w:val="none"/>
          <w:lang w:val="en-US" w:eastAsia="zh-CN"/>
        </w:rPr>
        <w:t>5</w:t>
      </w:r>
      <w:r>
        <w:rPr>
          <w:rFonts w:hint="eastAsia" w:ascii="宋体" w:hAnsi="宋体" w:eastAsia="宋体" w:cs="宋体"/>
          <w:color w:val="auto"/>
          <w:kern w:val="0"/>
          <w:sz w:val="18"/>
          <w:szCs w:val="18"/>
          <w:highlight w:val="none"/>
        </w:rPr>
        <w:t>年</w:t>
      </w:r>
      <w:r>
        <w:rPr>
          <w:rFonts w:hint="eastAsia" w:ascii="宋体" w:hAnsi="宋体" w:eastAsia="宋体" w:cs="宋体"/>
          <w:color w:val="auto"/>
          <w:kern w:val="0"/>
          <w:sz w:val="18"/>
          <w:szCs w:val="18"/>
          <w:highlight w:val="none"/>
          <w:lang w:val="en-US" w:eastAsia="zh-CN"/>
        </w:rPr>
        <w:t>12</w:t>
      </w:r>
      <w:r>
        <w:rPr>
          <w:rFonts w:hint="eastAsia" w:ascii="宋体" w:hAnsi="宋体" w:eastAsia="宋体" w:cs="宋体"/>
          <w:color w:val="auto"/>
          <w:kern w:val="0"/>
          <w:sz w:val="18"/>
          <w:szCs w:val="18"/>
          <w:highlight w:val="none"/>
        </w:rPr>
        <w:t>月</w:t>
      </w:r>
      <w:r>
        <w:rPr>
          <w:rFonts w:hint="eastAsia" w:ascii="宋体" w:hAnsi="宋体" w:eastAsia="宋体" w:cs="宋体"/>
          <w:color w:val="auto"/>
          <w:kern w:val="0"/>
          <w:sz w:val="18"/>
          <w:szCs w:val="18"/>
          <w:highlight w:val="none"/>
          <w:lang w:val="en-US" w:eastAsia="zh-CN"/>
        </w:rPr>
        <w:t>31</w:t>
      </w:r>
      <w:r>
        <w:rPr>
          <w:rFonts w:hint="eastAsia" w:ascii="宋体" w:hAnsi="宋体" w:eastAsia="宋体" w:cs="宋体"/>
          <w:color w:val="auto"/>
          <w:kern w:val="0"/>
          <w:sz w:val="18"/>
          <w:szCs w:val="1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Black">
    <w:panose1 w:val="020B0A04020102020204"/>
    <w:charset w:val="00"/>
    <w:family w:val="swiss"/>
    <w:pitch w:val="default"/>
    <w:sig w:usb0="00000287" w:usb1="00000000" w:usb2="00000000" w:usb3="00000000" w:csb0="2000009F" w:csb1="DFD7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MTNiY2YzMjMzOTljNjNlMzNiY2ZkZjgzOTEwYTUifQ=="/>
  </w:docVars>
  <w:rsids>
    <w:rsidRoot w:val="009A17C3"/>
    <w:rsid w:val="00000E13"/>
    <w:rsid w:val="000172C4"/>
    <w:rsid w:val="0003536E"/>
    <w:rsid w:val="0006501B"/>
    <w:rsid w:val="000A7FBA"/>
    <w:rsid w:val="000C38EC"/>
    <w:rsid w:val="000C7609"/>
    <w:rsid w:val="000D74DE"/>
    <w:rsid w:val="000F0127"/>
    <w:rsid w:val="000F79FD"/>
    <w:rsid w:val="0011776F"/>
    <w:rsid w:val="00190673"/>
    <w:rsid w:val="001C00F6"/>
    <w:rsid w:val="001E11B0"/>
    <w:rsid w:val="001F2FF1"/>
    <w:rsid w:val="001F4419"/>
    <w:rsid w:val="0021422B"/>
    <w:rsid w:val="00267836"/>
    <w:rsid w:val="00271B61"/>
    <w:rsid w:val="00276652"/>
    <w:rsid w:val="00363CE3"/>
    <w:rsid w:val="00374D10"/>
    <w:rsid w:val="003B55BD"/>
    <w:rsid w:val="003D0625"/>
    <w:rsid w:val="003D66BC"/>
    <w:rsid w:val="003F0175"/>
    <w:rsid w:val="003F3435"/>
    <w:rsid w:val="004237DB"/>
    <w:rsid w:val="004315B6"/>
    <w:rsid w:val="004845F0"/>
    <w:rsid w:val="004B001C"/>
    <w:rsid w:val="004D766C"/>
    <w:rsid w:val="004F296E"/>
    <w:rsid w:val="0052702E"/>
    <w:rsid w:val="00551027"/>
    <w:rsid w:val="005540BA"/>
    <w:rsid w:val="0056071D"/>
    <w:rsid w:val="005B0E67"/>
    <w:rsid w:val="006019FE"/>
    <w:rsid w:val="00602D71"/>
    <w:rsid w:val="00614820"/>
    <w:rsid w:val="006508B9"/>
    <w:rsid w:val="00650C29"/>
    <w:rsid w:val="00686E7F"/>
    <w:rsid w:val="006D3028"/>
    <w:rsid w:val="00721D61"/>
    <w:rsid w:val="00733B37"/>
    <w:rsid w:val="0075772B"/>
    <w:rsid w:val="00766158"/>
    <w:rsid w:val="007C0942"/>
    <w:rsid w:val="008064A2"/>
    <w:rsid w:val="008128A0"/>
    <w:rsid w:val="00864B63"/>
    <w:rsid w:val="0089266E"/>
    <w:rsid w:val="008A274C"/>
    <w:rsid w:val="008B1B69"/>
    <w:rsid w:val="008E40C0"/>
    <w:rsid w:val="00940E5C"/>
    <w:rsid w:val="009A17C3"/>
    <w:rsid w:val="009B00FA"/>
    <w:rsid w:val="00A06441"/>
    <w:rsid w:val="00A07847"/>
    <w:rsid w:val="00A108A2"/>
    <w:rsid w:val="00A35274"/>
    <w:rsid w:val="00AB0B3F"/>
    <w:rsid w:val="00AC37CB"/>
    <w:rsid w:val="00B3248A"/>
    <w:rsid w:val="00B63657"/>
    <w:rsid w:val="00B83648"/>
    <w:rsid w:val="00B86EA9"/>
    <w:rsid w:val="00BA5B22"/>
    <w:rsid w:val="00BB74C1"/>
    <w:rsid w:val="00BD4F0A"/>
    <w:rsid w:val="00C333EE"/>
    <w:rsid w:val="00C36E13"/>
    <w:rsid w:val="00C5017F"/>
    <w:rsid w:val="00CA0038"/>
    <w:rsid w:val="00D02616"/>
    <w:rsid w:val="00D54608"/>
    <w:rsid w:val="00D67944"/>
    <w:rsid w:val="00D9200E"/>
    <w:rsid w:val="00DB1709"/>
    <w:rsid w:val="00E042B6"/>
    <w:rsid w:val="00E461EF"/>
    <w:rsid w:val="00E62CF9"/>
    <w:rsid w:val="00E70E63"/>
    <w:rsid w:val="00EC01F4"/>
    <w:rsid w:val="00ED57AC"/>
    <w:rsid w:val="00F92653"/>
    <w:rsid w:val="00FD448A"/>
    <w:rsid w:val="0184494C"/>
    <w:rsid w:val="0184757D"/>
    <w:rsid w:val="01E83C21"/>
    <w:rsid w:val="032E62F3"/>
    <w:rsid w:val="040A289D"/>
    <w:rsid w:val="064C56C4"/>
    <w:rsid w:val="0779400A"/>
    <w:rsid w:val="08A47335"/>
    <w:rsid w:val="0D591407"/>
    <w:rsid w:val="0E952F07"/>
    <w:rsid w:val="0F932BAB"/>
    <w:rsid w:val="0FF4194B"/>
    <w:rsid w:val="14364ECC"/>
    <w:rsid w:val="14BE72B3"/>
    <w:rsid w:val="14EC7BBB"/>
    <w:rsid w:val="16B17E95"/>
    <w:rsid w:val="17894D2A"/>
    <w:rsid w:val="190F7200"/>
    <w:rsid w:val="19D867B4"/>
    <w:rsid w:val="19E35D35"/>
    <w:rsid w:val="1AD84EBC"/>
    <w:rsid w:val="1B635799"/>
    <w:rsid w:val="1D89114B"/>
    <w:rsid w:val="1DF40CB9"/>
    <w:rsid w:val="1E3C2C81"/>
    <w:rsid w:val="1F8D76FA"/>
    <w:rsid w:val="21551EDD"/>
    <w:rsid w:val="22804751"/>
    <w:rsid w:val="22E71813"/>
    <w:rsid w:val="252A3F35"/>
    <w:rsid w:val="25753C9D"/>
    <w:rsid w:val="25EE0BFC"/>
    <w:rsid w:val="284E25BB"/>
    <w:rsid w:val="29387525"/>
    <w:rsid w:val="293F17ED"/>
    <w:rsid w:val="2C2967C2"/>
    <w:rsid w:val="2F3C3746"/>
    <w:rsid w:val="2FE0344E"/>
    <w:rsid w:val="305C155D"/>
    <w:rsid w:val="332B5A15"/>
    <w:rsid w:val="336E15B2"/>
    <w:rsid w:val="33DD63C3"/>
    <w:rsid w:val="343D0134"/>
    <w:rsid w:val="346A6512"/>
    <w:rsid w:val="37232B33"/>
    <w:rsid w:val="38815066"/>
    <w:rsid w:val="38A40BF3"/>
    <w:rsid w:val="38B841F9"/>
    <w:rsid w:val="3A2D455E"/>
    <w:rsid w:val="3C717FBA"/>
    <w:rsid w:val="3F3A5BD0"/>
    <w:rsid w:val="3F6E24E7"/>
    <w:rsid w:val="404F02E9"/>
    <w:rsid w:val="408F4475"/>
    <w:rsid w:val="41E76563"/>
    <w:rsid w:val="438A7491"/>
    <w:rsid w:val="43C453B5"/>
    <w:rsid w:val="441F6447"/>
    <w:rsid w:val="452F6C23"/>
    <w:rsid w:val="458D7712"/>
    <w:rsid w:val="48F82498"/>
    <w:rsid w:val="496451C4"/>
    <w:rsid w:val="49E77B98"/>
    <w:rsid w:val="4BF14E46"/>
    <w:rsid w:val="4E8367AE"/>
    <w:rsid w:val="4FAA67FD"/>
    <w:rsid w:val="4FE73515"/>
    <w:rsid w:val="506629BD"/>
    <w:rsid w:val="54001E74"/>
    <w:rsid w:val="55326CEB"/>
    <w:rsid w:val="57600100"/>
    <w:rsid w:val="57BA1838"/>
    <w:rsid w:val="5AC520AD"/>
    <w:rsid w:val="5C2D01DA"/>
    <w:rsid w:val="5CDE51E7"/>
    <w:rsid w:val="6087742F"/>
    <w:rsid w:val="633842B3"/>
    <w:rsid w:val="64242757"/>
    <w:rsid w:val="650D7374"/>
    <w:rsid w:val="65224CC2"/>
    <w:rsid w:val="65CB4A00"/>
    <w:rsid w:val="67004BD3"/>
    <w:rsid w:val="67396D43"/>
    <w:rsid w:val="67DD48AA"/>
    <w:rsid w:val="6A7B7CFC"/>
    <w:rsid w:val="6BF51DEE"/>
    <w:rsid w:val="6CE8011A"/>
    <w:rsid w:val="6ED14B9B"/>
    <w:rsid w:val="731E331D"/>
    <w:rsid w:val="736C72CA"/>
    <w:rsid w:val="740A52C5"/>
    <w:rsid w:val="745F2606"/>
    <w:rsid w:val="747E3B9B"/>
    <w:rsid w:val="770E063B"/>
    <w:rsid w:val="78DC1E19"/>
    <w:rsid w:val="792D1FCF"/>
    <w:rsid w:val="7A9145F5"/>
    <w:rsid w:val="7E4429EF"/>
    <w:rsid w:val="7EDC6858"/>
    <w:rsid w:val="7FD665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27"/>
    <w:autoRedefine/>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paragraph" w:styleId="3">
    <w:name w:val="heading 3"/>
    <w:basedOn w:val="1"/>
    <w:next w:val="1"/>
    <w:autoRedefine/>
    <w:qFormat/>
    <w:uiPriority w:val="0"/>
    <w:pPr>
      <w:keepNext/>
      <w:spacing w:line="360" w:lineRule="auto"/>
      <w:ind w:firstLine="200" w:firstLineChars="200"/>
      <w:outlineLvl w:val="2"/>
    </w:pPr>
    <w:rPr>
      <w:b/>
      <w:sz w:val="28"/>
    </w:rPr>
  </w:style>
  <w:style w:type="character" w:default="1" w:styleId="16">
    <w:name w:val="Default Paragraph Font"/>
    <w:autoRedefine/>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qFormat/>
    <w:uiPriority w:val="0"/>
    <w:pPr>
      <w:jc w:val="left"/>
    </w:pPr>
    <w:rPr>
      <w:kern w:val="0"/>
      <w:sz w:val="20"/>
    </w:rPr>
  </w:style>
  <w:style w:type="paragraph" w:styleId="5">
    <w:name w:val="Body Text"/>
    <w:basedOn w:val="1"/>
    <w:next w:val="6"/>
    <w:autoRedefine/>
    <w:qFormat/>
    <w:uiPriority w:val="0"/>
    <w:pPr>
      <w:spacing w:after="120"/>
    </w:pPr>
  </w:style>
  <w:style w:type="paragraph" w:customStyle="1" w:styleId="6">
    <w:name w:val="xl27"/>
    <w:basedOn w:val="1"/>
    <w:autoRedefine/>
    <w:qFormat/>
    <w:uiPriority w:val="0"/>
    <w:pPr>
      <w:widowControl/>
      <w:pBdr>
        <w:bottom w:val="single" w:color="auto" w:sz="12" w:space="0"/>
      </w:pBdr>
      <w:spacing w:before="100" w:after="100"/>
      <w:jc w:val="center"/>
    </w:pPr>
    <w:rPr>
      <w:rFonts w:ascii="Arial Black" w:hAnsi="Arial Black" w:cs="Arial Unicode MS"/>
      <w:kern w:val="0"/>
      <w:szCs w:val="20"/>
    </w:rPr>
  </w:style>
  <w:style w:type="paragraph" w:styleId="7">
    <w:name w:val="Body Text Indent"/>
    <w:basedOn w:val="1"/>
    <w:autoRedefine/>
    <w:qFormat/>
    <w:uiPriority w:val="0"/>
    <w:pPr>
      <w:spacing w:after="120" w:line="360" w:lineRule="auto"/>
      <w:ind w:left="420" w:leftChars="200" w:firstLine="200" w:firstLineChars="200"/>
    </w:pPr>
    <w:rPr>
      <w:sz w:val="24"/>
    </w:rPr>
  </w:style>
  <w:style w:type="paragraph" w:styleId="8">
    <w:name w:val="Body Text Indent 2"/>
    <w:basedOn w:val="1"/>
    <w:autoRedefine/>
    <w:qFormat/>
    <w:uiPriority w:val="0"/>
    <w:pPr>
      <w:spacing w:after="120" w:line="480" w:lineRule="auto"/>
      <w:ind w:left="420" w:leftChars="200"/>
    </w:pPr>
  </w:style>
  <w:style w:type="paragraph" w:styleId="9">
    <w:name w:val="Balloon Text"/>
    <w:basedOn w:val="1"/>
    <w:link w:val="24"/>
    <w:autoRedefine/>
    <w:qFormat/>
    <w:uiPriority w:val="0"/>
    <w:rPr>
      <w:sz w:val="18"/>
      <w:szCs w:val="18"/>
    </w:rPr>
  </w:style>
  <w:style w:type="paragraph" w:styleId="10">
    <w:name w:val="footer"/>
    <w:basedOn w:val="1"/>
    <w:link w:val="23"/>
    <w:autoRedefine/>
    <w:qFormat/>
    <w:uiPriority w:val="99"/>
    <w:pPr>
      <w:tabs>
        <w:tab w:val="center" w:pos="4153"/>
        <w:tab w:val="right" w:pos="8306"/>
      </w:tabs>
      <w:snapToGrid w:val="0"/>
      <w:jc w:val="left"/>
    </w:pPr>
    <w:rPr>
      <w:sz w:val="18"/>
      <w:szCs w:val="18"/>
    </w:rPr>
  </w:style>
  <w:style w:type="paragraph" w:styleId="11">
    <w:name w:val="header"/>
    <w:basedOn w:val="1"/>
    <w:link w:val="22"/>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0"/>
    <w:pPr>
      <w:widowControl/>
      <w:spacing w:before="100" w:beforeAutospacing="1" w:after="100" w:afterAutospacing="1"/>
      <w:jc w:val="left"/>
    </w:pPr>
    <w:rPr>
      <w:rFonts w:ascii="宋体" w:hAnsi="宋体" w:eastAsia="宋体" w:cs="Times New Roman"/>
      <w:color w:val="000000"/>
      <w:kern w:val="0"/>
      <w:sz w:val="24"/>
    </w:rPr>
  </w:style>
  <w:style w:type="paragraph" w:styleId="13">
    <w:name w:val="Body Text First Indent 2"/>
    <w:basedOn w:val="7"/>
    <w:autoRedefine/>
    <w:qFormat/>
    <w:uiPriority w:val="0"/>
    <w:pPr>
      <w:ind w:firstLine="420"/>
    </w:pPr>
    <w:rPr>
      <w:sz w:val="21"/>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TML Variable"/>
    <w:basedOn w:val="16"/>
    <w:autoRedefine/>
    <w:qFormat/>
    <w:uiPriority w:val="0"/>
  </w:style>
  <w:style w:type="character" w:styleId="18">
    <w:name w:val="HTML Code"/>
    <w:basedOn w:val="16"/>
    <w:autoRedefine/>
    <w:qFormat/>
    <w:uiPriority w:val="0"/>
    <w:rPr>
      <w:rFonts w:hint="eastAsia" w:ascii="微软雅黑" w:hAnsi="微软雅黑" w:eastAsia="微软雅黑" w:cs="微软雅黑"/>
      <w:color w:val="262626"/>
      <w:sz w:val="21"/>
      <w:szCs w:val="21"/>
    </w:rPr>
  </w:style>
  <w:style w:type="character" w:styleId="19">
    <w:name w:val="annotation reference"/>
    <w:basedOn w:val="16"/>
    <w:autoRedefine/>
    <w:qFormat/>
    <w:uiPriority w:val="0"/>
    <w:rPr>
      <w:sz w:val="21"/>
      <w:szCs w:val="21"/>
    </w:rPr>
  </w:style>
  <w:style w:type="paragraph" w:customStyle="1" w:styleId="20">
    <w:name w:val="Default"/>
    <w:autoRedefine/>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21">
    <w:name w:val="正文内容"/>
    <w:basedOn w:val="1"/>
    <w:autoRedefine/>
    <w:qFormat/>
    <w:uiPriority w:val="0"/>
    <w:pPr>
      <w:spacing w:line="360" w:lineRule="auto"/>
      <w:ind w:firstLine="200" w:firstLineChars="200"/>
    </w:pPr>
    <w:rPr>
      <w:kern w:val="0"/>
      <w:sz w:val="24"/>
      <w:szCs w:val="21"/>
    </w:rPr>
  </w:style>
  <w:style w:type="character" w:customStyle="1" w:styleId="22">
    <w:name w:val="页眉 字符"/>
    <w:basedOn w:val="16"/>
    <w:link w:val="11"/>
    <w:autoRedefine/>
    <w:qFormat/>
    <w:uiPriority w:val="0"/>
    <w:rPr>
      <w:rFonts w:asciiTheme="minorHAnsi" w:hAnsiTheme="minorHAnsi" w:eastAsiaTheme="minorEastAsia" w:cstheme="minorBidi"/>
      <w:kern w:val="2"/>
      <w:sz w:val="18"/>
      <w:szCs w:val="18"/>
    </w:rPr>
  </w:style>
  <w:style w:type="character" w:customStyle="1" w:styleId="23">
    <w:name w:val="页脚 字符"/>
    <w:basedOn w:val="16"/>
    <w:link w:val="10"/>
    <w:autoRedefine/>
    <w:qFormat/>
    <w:uiPriority w:val="99"/>
    <w:rPr>
      <w:rFonts w:asciiTheme="minorHAnsi" w:hAnsiTheme="minorHAnsi" w:eastAsiaTheme="minorEastAsia" w:cstheme="minorBidi"/>
      <w:kern w:val="2"/>
      <w:sz w:val="18"/>
      <w:szCs w:val="18"/>
    </w:rPr>
  </w:style>
  <w:style w:type="character" w:customStyle="1" w:styleId="24">
    <w:name w:val="批注框文本 字符"/>
    <w:basedOn w:val="16"/>
    <w:link w:val="9"/>
    <w:autoRedefine/>
    <w:qFormat/>
    <w:uiPriority w:val="0"/>
    <w:rPr>
      <w:rFonts w:asciiTheme="minorHAnsi" w:hAnsiTheme="minorHAnsi" w:eastAsiaTheme="minorEastAsia" w:cstheme="minorBidi"/>
      <w:kern w:val="2"/>
      <w:sz w:val="18"/>
      <w:szCs w:val="18"/>
    </w:rPr>
  </w:style>
  <w:style w:type="paragraph" w:customStyle="1" w:styleId="25">
    <w:name w:val="列出段落1"/>
    <w:basedOn w:val="1"/>
    <w:autoRedefine/>
    <w:unhideWhenUsed/>
    <w:qFormat/>
    <w:uiPriority w:val="99"/>
    <w:pPr>
      <w:ind w:firstLine="420" w:firstLineChars="200"/>
    </w:pPr>
  </w:style>
  <w:style w:type="paragraph" w:customStyle="1" w:styleId="26">
    <w:name w:val="样式 正文文本缩进 2正文文字缩进 2 + 小四 左侧:  0 厘米 段后: 0 磅 行距: 1.5 倍行距"/>
    <w:basedOn w:val="8"/>
    <w:autoRedefine/>
    <w:semiHidden/>
    <w:qFormat/>
    <w:uiPriority w:val="0"/>
    <w:pPr>
      <w:spacing w:after="0" w:line="360" w:lineRule="auto"/>
      <w:ind w:left="0" w:leftChars="0" w:firstLine="480" w:firstLineChars="200"/>
    </w:pPr>
    <w:rPr>
      <w:rFonts w:cs="宋体"/>
      <w:sz w:val="24"/>
    </w:rPr>
  </w:style>
  <w:style w:type="character" w:customStyle="1" w:styleId="27">
    <w:name w:val="标题 2 字符"/>
    <w:link w:val="2"/>
    <w:autoRedefine/>
    <w:qFormat/>
    <w:uiPriority w:val="0"/>
    <w:rPr>
      <w:rFonts w:hint="eastAsia" w:ascii="宋体" w:hAnsi="宋体" w:eastAsia="宋体" w:cs="Times New Roman"/>
      <w:b/>
      <w:kern w:val="0"/>
      <w:sz w:val="36"/>
      <w:szCs w:val="36"/>
    </w:rPr>
  </w:style>
  <w:style w:type="paragraph" w:customStyle="1" w:styleId="28">
    <w:name w:val="正文01"/>
    <w:basedOn w:val="1"/>
    <w:autoRedefine/>
    <w:qFormat/>
    <w:uiPriority w:val="0"/>
    <w:pPr>
      <w:adjustRightInd w:val="0"/>
      <w:spacing w:line="360" w:lineRule="auto"/>
      <w:ind w:firstLine="480" w:firstLineChars="200"/>
      <w:textAlignment w:val="baseline"/>
    </w:pPr>
    <w:rPr>
      <w:bCs/>
      <w:sz w:val="24"/>
    </w:rPr>
  </w:style>
  <w:style w:type="paragraph" w:customStyle="1" w:styleId="29">
    <w:name w:val="报告表三级标题"/>
    <w:autoRedefine/>
    <w:qFormat/>
    <w:uiPriority w:val="0"/>
    <w:pPr>
      <w:spacing w:line="360" w:lineRule="auto"/>
      <w:ind w:firstLine="480" w:firstLineChars="200"/>
      <w:outlineLvl w:val="2"/>
    </w:pPr>
    <w:rPr>
      <w:rFonts w:ascii="Times New Roman" w:hAnsi="Times New Roman" w:eastAsia="宋体" w:cs="宋体"/>
      <w:color w:val="000000"/>
      <w:kern w:val="2"/>
      <w:sz w:val="24"/>
      <w:szCs w:val="22"/>
      <w:lang w:val="en-US" w:eastAsia="zh-CN" w:bidi="ar-SA"/>
    </w:rPr>
  </w:style>
  <w:style w:type="paragraph" w:customStyle="1" w:styleId="30">
    <w:name w:val="样式 样式 (符号) 宋体 小四 行距: 1.5 倍行距 + 首行缩进:  2 字符"/>
    <w:basedOn w:val="1"/>
    <w:autoRedefine/>
    <w:qFormat/>
    <w:uiPriority w:val="0"/>
    <w:pPr>
      <w:spacing w:line="360" w:lineRule="auto"/>
      <w:ind w:firstLine="456" w:firstLineChars="200"/>
    </w:pPr>
    <w:rPr>
      <w:rFonts w:ascii="Times New Roman" w:hAnsi="宋体" w:eastAsia="宋体" w:cs="宋体"/>
      <w:sz w:val="24"/>
      <w:szCs w:val="20"/>
    </w:rPr>
  </w:style>
  <w:style w:type="paragraph" w:customStyle="1" w:styleId="31">
    <w:name w:val="列表段落1"/>
    <w:basedOn w:val="1"/>
    <w:autoRedefine/>
    <w:qFormat/>
    <w:uiPriority w:val="34"/>
    <w:pPr>
      <w:ind w:firstLine="420" w:firstLineChars="200"/>
    </w:pPr>
  </w:style>
  <w:style w:type="paragraph" w:customStyle="1" w:styleId="32">
    <w:name w:val="正文1"/>
    <w:basedOn w:val="1"/>
    <w:autoRedefine/>
    <w:qFormat/>
    <w:uiPriority w:val="0"/>
    <w:pPr>
      <w:spacing w:line="480" w:lineRule="exact"/>
      <w:ind w:firstLine="480" w:firstLineChars="200"/>
    </w:pPr>
    <w:rPr>
      <w:rFonts w:ascii="宋体" w:hAnsi="宋体" w:eastAsia="宋体"/>
      <w:sz w:val="24"/>
      <w:u w:val="single"/>
    </w:rPr>
  </w:style>
  <w:style w:type="paragraph" w:customStyle="1" w:styleId="33">
    <w:name w:val="Default1"/>
    <w:autoRedefine/>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34">
    <w:name w:val="1文章"/>
    <w:basedOn w:val="1"/>
    <w:autoRedefine/>
    <w:qFormat/>
    <w:uiPriority w:val="0"/>
    <w:pPr>
      <w:snapToGrid w:val="0"/>
      <w:spacing w:line="360" w:lineRule="auto"/>
      <w:ind w:firstLine="573"/>
    </w:pPr>
    <w:rPr>
      <w:rFonts w:eastAsia="仿宋_GB2312" w:cs="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reviewItem>
      <errorID>682b7ac1-68e6-49f2-bb1f-aeb6b8cde300</errorID>
      <errorWord>，</errorWord>
      <group>L1_Word</group>
      <groupName>字词问题</groupName>
      <ability>L2_Typo</ability>
      <abilityName>字词错误</abilityName>
      <candidateList>
        <item>，对</item>
      </candidateList>
      <explain/>
      <paraID> 29CB696</paraID>
      <start>117</start>
      <end>118</end>
      <status>unmodified</status>
      <modifiedWord/>
      <trackRevisions>false</trackRevisions>
    </reviewItem>
    <reviewItem>
      <errorID>4eac054d-bb38-497b-9ef6-d17691ff0b69</errorID>
      <errorWord>,</errorWord>
      <group>L1_Format</group>
      <groupName>格式问题</groupName>
      <ability>L2_HalfPunc</ability>
      <abilityName>全半角检查</abilityName>
      <candidateList>
        <item>，</item>
      </candidateList>
      <explain>文本全半角错误。</explain>
      <paraID>7BB4F459</paraID>
      <start>16</start>
      <end>17</end>
      <status>unmodified</status>
      <modifiedWord/>
      <trackRevisions>false</trackRevisions>
    </reviewItem>
    <reviewItem>
      <errorID>b69125f1-777e-4b9c-956b-224ad04e0234</errorID>
      <errorWord>,</errorWord>
      <group>L1_Format</group>
      <groupName>格式问题</groupName>
      <ability>L2_HalfPunc</ability>
      <abilityName>全半角检查</abilityName>
      <candidateList>
        <item>，</item>
      </candidateList>
      <explain>文本全半角错误。</explain>
      <paraID>7BB4F459</paraID>
      <start>41</start>
      <end>42</end>
      <status>unmodified</status>
      <modifiedWord/>
      <trackRevisions>false</trackRevisions>
    </reviewItem>
  </reviewItems>
  <config/>
</contractReview>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d82cb-26ae-431b-9ee6-5e1e03b62435}">
  <ds:schemaRefs/>
</ds:datastoreItem>
</file>

<file path=customXml/itemProps2.xml><?xml version="1.0" encoding="utf-8"?>
<ds:datastoreItem xmlns:ds="http://schemas.openxmlformats.org/officeDocument/2006/customXml" ds:itemID="{F0CAE3FA-30D9-4D4A-B4B5-91D5EFFECCC0}">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1185</Words>
  <Characters>1248</Characters>
  <Lines>20</Lines>
  <Paragraphs>5</Paragraphs>
  <TotalTime>17</TotalTime>
  <ScaleCrop>false</ScaleCrop>
  <LinksUpToDate>false</LinksUpToDate>
  <CharactersWithSpaces>1315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dd</dc:creator>
  <cp:lastModifiedBy>戴万纯</cp:lastModifiedBy>
  <cp:lastPrinted>2024-08-12T07:03:00Z</cp:lastPrinted>
  <dcterms:modified xsi:type="dcterms:W3CDTF">2025-12-31T01:56:37Z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3B28C571ABA24A58BDB7E2E3623BB6D8_13</vt:lpwstr>
  </property>
  <property fmtid="{D5CDD505-2E9C-101B-9397-08002B2CF9AE}" pid="4" name="KSOTemplateDocerSaveRecord">
    <vt:lpwstr>eyJoZGlkIjoiMThkMTNiY2YzMjMzOTljNjNlMzNiY2ZkZjgzOTEwYTUiLCJ1c2VySWQiOiIzNDM0NzI4NTgifQ==</vt:lpwstr>
  </property>
</Properties>
</file>